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65244157" w:displacedByCustomXml="next"/>
    <w:sdt>
      <w:sdtPr>
        <w:rPr>
          <w:rFonts w:ascii="Arial" w:eastAsia="Arial" w:hAnsi="Arial" w:cs="Arial"/>
          <w:b w:val="0"/>
          <w:sz w:val="22"/>
          <w:szCs w:val="22"/>
          <w:lang w:val="en"/>
        </w:rPr>
        <w:id w:val="1984655810"/>
        <w:docPartObj>
          <w:docPartGallery w:val="Table of Contents"/>
          <w:docPartUnique/>
        </w:docPartObj>
      </w:sdtPr>
      <w:sdtEndPr>
        <w:rPr>
          <w:bCs/>
          <w:lang w:val="es-ES"/>
        </w:rPr>
      </w:sdtEndPr>
      <w:sdtContent>
        <w:p w:rsidR="00C4050F" w:rsidRPr="00D64D74" w:rsidRDefault="00C4050F" w:rsidP="00EA01E5">
          <w:pPr>
            <w:pStyle w:val="Ttulo1"/>
            <w:numPr>
              <w:ilvl w:val="0"/>
              <w:numId w:val="0"/>
            </w:numPr>
            <w:spacing w:before="0" w:after="0" w:line="360" w:lineRule="auto"/>
            <w:ind w:left="1440" w:hanging="1080"/>
          </w:pPr>
          <w:r w:rsidRPr="00D64D74">
            <w:t>Contenido</w:t>
          </w:r>
          <w:bookmarkEnd w:id="1"/>
        </w:p>
        <w:p w:rsidR="004D2C6A" w:rsidRDefault="00C4050F">
          <w:pPr>
            <w:pStyle w:val="TDC1"/>
            <w:tabs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r w:rsidRPr="00D64D74">
            <w:rPr>
              <w:rFonts w:ascii="Verdana" w:hAnsi="Verdana"/>
              <w:sz w:val="32"/>
              <w:szCs w:val="32"/>
            </w:rPr>
            <w:fldChar w:fldCharType="begin"/>
          </w:r>
          <w:r w:rsidRPr="00D64D74">
            <w:rPr>
              <w:rFonts w:ascii="Verdana" w:hAnsi="Verdana"/>
              <w:sz w:val="32"/>
              <w:szCs w:val="32"/>
            </w:rPr>
            <w:instrText xml:space="preserve"> TOC \o "1-3" \h \z \u </w:instrText>
          </w:r>
          <w:r w:rsidRPr="00D64D74">
            <w:rPr>
              <w:rFonts w:ascii="Verdana" w:hAnsi="Verdana"/>
              <w:sz w:val="32"/>
              <w:szCs w:val="32"/>
            </w:rPr>
            <w:fldChar w:fldCharType="separate"/>
          </w:r>
          <w:hyperlink w:anchor="_Toc65244157" w:history="1">
            <w:r w:rsidR="004D2C6A" w:rsidRPr="00466237">
              <w:rPr>
                <w:rStyle w:val="Hipervnculo"/>
                <w:noProof/>
              </w:rPr>
              <w:t>Contenido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_Toc65244157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1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1"/>
            <w:tabs>
              <w:tab w:val="left" w:pos="44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58" w:history="1">
            <w:r w:rsidR="004D2C6A" w:rsidRPr="00466237">
              <w:rPr>
                <w:rStyle w:val="Hipervnculo"/>
                <w:noProof/>
              </w:rPr>
              <w:t>I.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INTRODUCCIÓN: 2020, el año del Coronavirus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_Toc65244158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59" w:history="1">
            <w:r w:rsidR="004D2C6A" w:rsidRPr="00466237">
              <w:rPr>
                <w:rStyle w:val="Hipervnculo"/>
                <w:noProof/>
              </w:rPr>
              <w:t>1.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Cifras y estadísticas en el contexto de pandemia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_Toc65244159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5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3"/>
            <w:tabs>
              <w:tab w:val="left" w:pos="110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0" w:history="1">
            <w:r w:rsidR="004D2C6A" w:rsidRPr="00466237">
              <w:rPr>
                <w:rStyle w:val="Hipervnculo"/>
                <w:rFonts w:ascii="Verdana" w:hAnsi="Verdana"/>
                <w:noProof/>
              </w:rPr>
              <w:t>a)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rFonts w:ascii="Verdana" w:hAnsi="Verdana"/>
                <w:noProof/>
              </w:rPr>
              <w:t>Tribunales que forman parte del Poder Judicial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_Toc65244160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6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3" w:history="1">
            <w:r w:rsidR="004D2C6A" w:rsidRPr="00466237">
              <w:rPr>
                <w:rStyle w:val="Hipervnculo"/>
                <w:noProof/>
              </w:rPr>
              <w:t>2.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Efectos en el público y los funcionarios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_Toc65244163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11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4" w:history="1">
            <w:r w:rsidR="004D2C6A" w:rsidRPr="00466237">
              <w:rPr>
                <w:rStyle w:val="Hipervnculo"/>
                <w:noProof/>
              </w:rPr>
              <w:t>3.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Estrategias del PJUD ante el Coronavirus: modernización y participación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_Toc65244164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13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5" w:history="1">
            <w:r w:rsidR="004D2C6A" w:rsidRPr="00466237">
              <w:rPr>
                <w:rStyle w:val="Hipervnculo"/>
                <w:noProof/>
              </w:rPr>
              <w:t>4.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Retiro del 10% de los fondos de las AFP y su retención por deudas de alimentos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_Toc65244165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18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1"/>
            <w:tabs>
              <w:tab w:val="left" w:pos="44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6" w:history="1">
            <w:r w:rsidR="004D2C6A" w:rsidRPr="00466237">
              <w:rPr>
                <w:rStyle w:val="Hipervnculo"/>
                <w:noProof/>
              </w:rPr>
              <w:t>II.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COMPROMISO CON LOS DERECHOS HUMANOS DE TODAS LAS PERSONAS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_Toc65244166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20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7" w:history="1">
            <w:r w:rsidR="004D2C6A" w:rsidRPr="00466237">
              <w:rPr>
                <w:rStyle w:val="Hipervnculo"/>
                <w:noProof/>
              </w:rPr>
              <w:t>1.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Causas de DERECHOS HUMANOS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_Toc65244167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21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8" w:history="1">
            <w:r w:rsidR="004D2C6A" w:rsidRPr="00466237">
              <w:rPr>
                <w:rStyle w:val="Hipervnculo"/>
                <w:noProof/>
              </w:rPr>
              <w:t>2.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Estallido social y restricciones de movilidad por la pandemia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_Toc65244168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22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69" w:history="1">
            <w:r w:rsidR="004D2C6A" w:rsidRPr="00466237">
              <w:rPr>
                <w:rStyle w:val="Hipervnculo"/>
                <w:noProof/>
              </w:rPr>
              <w:t>3.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Compromiso con grupos vulnerables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_Toc65244169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23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1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0" w:history="1">
            <w:r w:rsidR="004D2C6A" w:rsidRPr="00466237">
              <w:rPr>
                <w:rStyle w:val="Hipervnculo"/>
                <w:noProof/>
              </w:rPr>
              <w:t>III.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TRABAJO INSTITUCIONAL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_Toc65244170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26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1" w:history="1">
            <w:r w:rsidR="004D2C6A" w:rsidRPr="00466237">
              <w:rPr>
                <w:rStyle w:val="Hipervnculo"/>
                <w:noProof/>
              </w:rPr>
              <w:t>1.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Planificación estratégica 2021-2025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_Toc65244171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26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2" w:history="1">
            <w:r w:rsidR="004D2C6A" w:rsidRPr="00466237">
              <w:rPr>
                <w:rStyle w:val="Hipervnculo"/>
                <w:noProof/>
              </w:rPr>
              <w:t>2.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Trabajo no jurisdiccional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_Toc65244172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28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3" w:history="1">
            <w:r w:rsidR="004D2C6A" w:rsidRPr="00466237">
              <w:rPr>
                <w:rStyle w:val="Hipervnculo"/>
                <w:noProof/>
              </w:rPr>
              <w:t>3.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Trabajo jurisdiccional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_Toc65244173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30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3"/>
            <w:tabs>
              <w:tab w:val="left" w:pos="110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4" w:history="1">
            <w:r w:rsidR="004D2C6A" w:rsidRPr="00466237">
              <w:rPr>
                <w:rStyle w:val="Hipervnculo"/>
                <w:rFonts w:ascii="Verdana" w:hAnsi="Verdana"/>
                <w:noProof/>
              </w:rPr>
              <w:t>a)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rFonts w:ascii="Verdana" w:hAnsi="Verdana"/>
                <w:noProof/>
              </w:rPr>
              <w:t>Jurisprudencia relevante de la Corte Suprema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_Toc65244174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30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3"/>
            <w:tabs>
              <w:tab w:val="left" w:pos="110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5" w:history="1">
            <w:r w:rsidR="004D2C6A" w:rsidRPr="00466237">
              <w:rPr>
                <w:rStyle w:val="Hipervnculo"/>
                <w:rFonts w:ascii="Verdana" w:hAnsi="Verdana"/>
                <w:noProof/>
              </w:rPr>
              <w:t>b)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rFonts w:ascii="Verdana" w:hAnsi="Verdana"/>
                <w:noProof/>
              </w:rPr>
              <w:t>Dudas y dificultades en la inteligencia y aplicación de las leyes y los vacíos que se noten en ellas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_Toc65244175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33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6" w:history="1">
            <w:r w:rsidR="004D2C6A" w:rsidRPr="00466237">
              <w:rPr>
                <w:rStyle w:val="Hipervnculo"/>
                <w:noProof/>
                <w:lang w:eastAsia="en-US"/>
              </w:rPr>
              <w:t>4.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  <w:lang w:eastAsia="en-US"/>
              </w:rPr>
              <w:t>La reforma pendiente: Reforma Procesal Civil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_Toc65244176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34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7" w:history="1">
            <w:r w:rsidR="004D2C6A" w:rsidRPr="00466237">
              <w:rPr>
                <w:rStyle w:val="Hipervnculo"/>
                <w:rFonts w:eastAsia="Calibri"/>
                <w:noProof/>
                <w:lang w:val="es-MX" w:eastAsia="en-US"/>
              </w:rPr>
              <w:t>5.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Acusación constitucional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_Toc65244177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35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8" w:history="1">
            <w:r w:rsidR="004D2C6A" w:rsidRPr="00466237">
              <w:rPr>
                <w:rStyle w:val="Hipervnculo"/>
                <w:noProof/>
              </w:rPr>
              <w:t>6.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Trabajo colaborativo y relación con la comunidad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_Toc65244178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36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79" w:history="1">
            <w:r w:rsidR="004D2C6A" w:rsidRPr="00466237">
              <w:rPr>
                <w:rStyle w:val="Hipervnculo"/>
                <w:noProof/>
              </w:rPr>
              <w:t>7.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Convenios suscritos. El trabajo colaborativo con Universidades para el buscador de fallos.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_Toc65244179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37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0" w:history="1">
            <w:r w:rsidR="004D2C6A" w:rsidRPr="00466237">
              <w:rPr>
                <w:rStyle w:val="Hipervnculo"/>
                <w:noProof/>
              </w:rPr>
              <w:t>8.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Cumbre Judicial Iberoamericana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_Toc65244180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38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1" w:history="1">
            <w:r w:rsidR="004D2C6A" w:rsidRPr="00466237">
              <w:rPr>
                <w:rStyle w:val="Hipervnculo"/>
                <w:noProof/>
              </w:rPr>
              <w:t>9.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Academia Judicial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_Toc65244181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39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2" w:history="1">
            <w:r w:rsidR="004D2C6A" w:rsidRPr="00466237">
              <w:rPr>
                <w:rStyle w:val="Hipervnculo"/>
                <w:noProof/>
              </w:rPr>
              <w:t>10.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Juramento de abogados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_Toc65244182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40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3" w:history="1">
            <w:r w:rsidR="004D2C6A" w:rsidRPr="00466237">
              <w:rPr>
                <w:rStyle w:val="Hipervnculo"/>
                <w:noProof/>
              </w:rPr>
              <w:t>11.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Modernización permanente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_Toc65244183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40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88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4" w:history="1">
            <w:r w:rsidR="004D2C6A" w:rsidRPr="00466237">
              <w:rPr>
                <w:rStyle w:val="Hipervnculo"/>
                <w:noProof/>
              </w:rPr>
              <w:t>12.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Corporación Administrativa del Poder Judicial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_Toc65244184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42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1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5" w:history="1">
            <w:r w:rsidR="004D2C6A" w:rsidRPr="00466237">
              <w:rPr>
                <w:rStyle w:val="Hipervnculo"/>
                <w:noProof/>
              </w:rPr>
              <w:t>IV.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CAMBIOS EN LA CONFORMACIÓN DE LA CORTE SUPREMA Y MENCIÓN HONROSA AL MINISTRO ARÁNGUIZ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_Toc65244185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44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1"/>
            <w:tabs>
              <w:tab w:val="left" w:pos="44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6" w:history="1">
            <w:r w:rsidR="004D2C6A" w:rsidRPr="00466237">
              <w:rPr>
                <w:rStyle w:val="Hipervnculo"/>
                <w:noProof/>
              </w:rPr>
              <w:t>V.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COMPROMISO DEMOCRÁTICO: PROCESO CONSTITUYENTE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_Toc65244186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45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1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7" w:history="1">
            <w:r w:rsidR="004D2C6A" w:rsidRPr="00466237">
              <w:rPr>
                <w:rStyle w:val="Hipervnculo"/>
                <w:noProof/>
              </w:rPr>
              <w:t>VI.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</w:rPr>
              <w:t>PALABRAS DE CIERRE Y/O DESAFÍOS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_Toc65244187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47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8" w:history="1">
            <w:r w:rsidR="004D2C6A" w:rsidRPr="00466237">
              <w:rPr>
                <w:rStyle w:val="Hipervnculo"/>
                <w:noProof/>
                <w:lang w:eastAsia="en-US"/>
              </w:rPr>
              <w:t>1.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  <w:lang w:eastAsia="en-US"/>
              </w:rPr>
              <w:t>Razones para el optimismo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_Toc65244188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47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4D2C6A" w:rsidRDefault="00953EC4">
          <w:pPr>
            <w:pStyle w:val="TDC2"/>
            <w:tabs>
              <w:tab w:val="left" w:pos="660"/>
              <w:tab w:val="right" w:leader="dot" w:pos="9352"/>
            </w:tabs>
            <w:rPr>
              <w:rFonts w:asciiTheme="minorHAnsi" w:eastAsiaTheme="minorEastAsia" w:hAnsiTheme="minorHAnsi" w:cstheme="minorBidi"/>
              <w:noProof/>
              <w:lang w:val="es-CL"/>
            </w:rPr>
          </w:pPr>
          <w:hyperlink w:anchor="_Toc65244189" w:history="1">
            <w:r w:rsidR="004D2C6A" w:rsidRPr="00466237">
              <w:rPr>
                <w:rStyle w:val="Hipervnculo"/>
                <w:noProof/>
                <w:lang w:eastAsia="en-US"/>
              </w:rPr>
              <w:t>2.</w:t>
            </w:r>
            <w:r w:rsidR="004D2C6A">
              <w:rPr>
                <w:rFonts w:asciiTheme="minorHAnsi" w:eastAsiaTheme="minorEastAsia" w:hAnsiTheme="minorHAnsi" w:cstheme="minorBidi"/>
                <w:noProof/>
                <w:lang w:val="es-CL"/>
              </w:rPr>
              <w:tab/>
            </w:r>
            <w:r w:rsidR="004D2C6A" w:rsidRPr="00466237">
              <w:rPr>
                <w:rStyle w:val="Hipervnculo"/>
                <w:noProof/>
                <w:lang w:eastAsia="en-US"/>
              </w:rPr>
              <w:t>Proyecciones y compromisos</w:t>
            </w:r>
            <w:r w:rsidR="004D2C6A">
              <w:rPr>
                <w:noProof/>
                <w:webHidden/>
              </w:rPr>
              <w:tab/>
            </w:r>
            <w:r w:rsidR="004D2C6A">
              <w:rPr>
                <w:noProof/>
                <w:webHidden/>
              </w:rPr>
              <w:fldChar w:fldCharType="begin"/>
            </w:r>
            <w:r w:rsidR="004D2C6A">
              <w:rPr>
                <w:noProof/>
                <w:webHidden/>
              </w:rPr>
              <w:instrText xml:space="preserve"> PAGEREF _Toc65244189 \h </w:instrText>
            </w:r>
            <w:r w:rsidR="004D2C6A">
              <w:rPr>
                <w:noProof/>
                <w:webHidden/>
              </w:rPr>
            </w:r>
            <w:r w:rsidR="004D2C6A">
              <w:rPr>
                <w:noProof/>
                <w:webHidden/>
              </w:rPr>
              <w:fldChar w:fldCharType="separate"/>
            </w:r>
            <w:r w:rsidR="004D2C6A">
              <w:rPr>
                <w:noProof/>
                <w:webHidden/>
              </w:rPr>
              <w:t>49</w:t>
            </w:r>
            <w:r w:rsidR="004D2C6A">
              <w:rPr>
                <w:noProof/>
                <w:webHidden/>
              </w:rPr>
              <w:fldChar w:fldCharType="end"/>
            </w:r>
          </w:hyperlink>
        </w:p>
        <w:p w:rsidR="00C4050F" w:rsidRPr="00D64D74" w:rsidRDefault="00C4050F" w:rsidP="00EA01E5">
          <w:pPr>
            <w:spacing w:line="360" w:lineRule="auto"/>
            <w:rPr>
              <w:rFonts w:ascii="Verdana" w:hAnsi="Verdana"/>
              <w:sz w:val="32"/>
              <w:szCs w:val="32"/>
            </w:rPr>
          </w:pPr>
          <w:r w:rsidRPr="00D64D74">
            <w:rPr>
              <w:rFonts w:ascii="Verdana" w:hAnsi="Verdana"/>
              <w:b/>
              <w:bCs/>
              <w:sz w:val="32"/>
              <w:szCs w:val="32"/>
              <w:lang w:val="es-ES"/>
            </w:rPr>
            <w:fldChar w:fldCharType="end"/>
          </w:r>
        </w:p>
      </w:sdtContent>
    </w:sdt>
    <w:p w:rsidR="00792801" w:rsidRPr="00D64D74" w:rsidRDefault="00792801" w:rsidP="00EA01E5">
      <w:pPr>
        <w:spacing w:line="360" w:lineRule="auto"/>
        <w:ind w:left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92801" w:rsidRPr="00845923" w:rsidRDefault="00707D5D" w:rsidP="006132CA">
      <w:pPr>
        <w:spacing w:line="360" w:lineRule="auto"/>
        <w:jc w:val="center"/>
        <w:rPr>
          <w:rFonts w:ascii="Verdana" w:eastAsia="Verdana" w:hAnsi="Verdana" w:cs="Verdana"/>
          <w:b/>
          <w:sz w:val="40"/>
          <w:szCs w:val="40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br w:type="page"/>
      </w:r>
      <w:r w:rsidR="00C4050F" w:rsidRPr="00845923">
        <w:rPr>
          <w:rFonts w:ascii="Verdana" w:eastAsia="Verdana" w:hAnsi="Verdana" w:cs="Verdana"/>
          <w:b/>
          <w:sz w:val="40"/>
          <w:szCs w:val="40"/>
          <w:lang w:val="es-CL"/>
        </w:rPr>
        <w:lastRenderedPageBreak/>
        <w:t>Cuenta Pública 202</w:t>
      </w:r>
      <w:r w:rsidR="000D3CB5">
        <w:rPr>
          <w:rFonts w:ascii="Verdana" w:eastAsia="Verdana" w:hAnsi="Verdana" w:cs="Verdana"/>
          <w:b/>
          <w:sz w:val="40"/>
          <w:szCs w:val="40"/>
          <w:lang w:val="es-CL"/>
        </w:rPr>
        <w:t>1</w:t>
      </w:r>
    </w:p>
    <w:p w:rsidR="00EA01E5" w:rsidRPr="00D64D74" w:rsidRDefault="00EA01E5" w:rsidP="006132CA">
      <w:pPr>
        <w:spacing w:line="360" w:lineRule="auto"/>
        <w:ind w:firstLine="700"/>
        <w:jc w:val="center"/>
        <w:rPr>
          <w:rFonts w:ascii="Verdana" w:eastAsia="Verdana" w:hAnsi="Verdana" w:cs="Verdana"/>
          <w:b/>
          <w:sz w:val="32"/>
          <w:szCs w:val="32"/>
          <w:u w:val="single"/>
          <w:lang w:val="es-CL"/>
        </w:rPr>
      </w:pPr>
    </w:p>
    <w:p w:rsidR="00700217" w:rsidRPr="00D64D74" w:rsidRDefault="00700217" w:rsidP="006132CA">
      <w:pPr>
        <w:pStyle w:val="Ttulo1"/>
        <w:spacing w:before="0" w:after="0" w:line="360" w:lineRule="auto"/>
        <w:jc w:val="both"/>
      </w:pPr>
      <w:bookmarkStart w:id="2" w:name="_Toc65244158"/>
      <w:r w:rsidRPr="00D64D74">
        <w:t>INTRODUCCI</w:t>
      </w:r>
      <w:r w:rsidR="001B6E91">
        <w:t>Ó</w:t>
      </w:r>
      <w:r w:rsidRPr="00D64D74">
        <w:t>N</w:t>
      </w:r>
      <w:r w:rsidR="00463AFF" w:rsidRPr="00D64D74">
        <w:t>: 2020, el a</w:t>
      </w:r>
      <w:r w:rsidR="00397CC6" w:rsidRPr="00D64D74">
        <w:t>ño del Coronavirus</w:t>
      </w:r>
      <w:bookmarkEnd w:id="2"/>
    </w:p>
    <w:p w:rsidR="00C4050F" w:rsidRPr="00D64D74" w:rsidRDefault="00C4050F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highlight w:val="yellow"/>
          <w:lang w:val="es-CL"/>
        </w:rPr>
      </w:pPr>
    </w:p>
    <w:p w:rsidR="00756D91" w:rsidRPr="00D64D74" w:rsidRDefault="00AF1CD0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Hace exactamente un año, en esta rendición de cuenta al país t</w:t>
      </w:r>
      <w:r w:rsidR="00A0582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uve ocasión de describir </w:t>
      </w:r>
      <w:r w:rsidR="0016299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y valorar </w:t>
      </w:r>
      <w:r w:rsidR="00A0582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contexto social que se vivía en ese </w:t>
      </w:r>
      <w:r w:rsidR="00162994" w:rsidRPr="00D64D74">
        <w:rPr>
          <w:rFonts w:ascii="Verdana" w:eastAsia="Verdana" w:hAnsi="Verdana" w:cs="Verdana"/>
          <w:sz w:val="32"/>
          <w:szCs w:val="32"/>
          <w:lang w:val="es-CL"/>
        </w:rPr>
        <w:t>entonces</w:t>
      </w:r>
      <w:r w:rsidR="00A0582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>aquel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momento,</w:t>
      </w:r>
      <w:r w:rsidR="0016299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las primeras planas de los periódicos eran ocupadas por las </w:t>
      </w:r>
      <w:r w:rsidR="00A0582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movilizaciones sociales y </w:t>
      </w:r>
      <w:r w:rsidR="007177B0" w:rsidRPr="00D64D74">
        <w:rPr>
          <w:rFonts w:ascii="Verdana" w:eastAsia="Verdana" w:hAnsi="Verdana" w:cs="Verdana"/>
          <w:sz w:val="32"/>
          <w:szCs w:val="32"/>
          <w:lang w:val="es-CL"/>
        </w:rPr>
        <w:t>ten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íamos grandes expectativas del </w:t>
      </w:r>
      <w:r w:rsidR="00A0582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proceso constitucional </w:t>
      </w:r>
      <w:r w:rsidR="007177B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que estaba </w:t>
      </w:r>
      <w:r w:rsidR="00162994" w:rsidRPr="00D64D74">
        <w:rPr>
          <w:rFonts w:ascii="Verdana" w:eastAsia="Verdana" w:hAnsi="Verdana" w:cs="Verdana"/>
          <w:sz w:val="32"/>
          <w:szCs w:val="32"/>
          <w:lang w:val="es-CL"/>
        </w:rPr>
        <w:t>en ciernes</w:t>
      </w:r>
      <w:r w:rsidR="00D90B0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D90B02" w:rsidRPr="00D64D74" w:rsidRDefault="00D90B02" w:rsidP="006132CA">
      <w:pPr>
        <w:pStyle w:val="Sinespaciado"/>
        <w:spacing w:line="360" w:lineRule="auto"/>
        <w:ind w:firstLine="720"/>
        <w:rPr>
          <w:rFonts w:ascii="Verdana" w:hAnsi="Verdana"/>
          <w:sz w:val="32"/>
          <w:szCs w:val="32"/>
          <w:lang w:val="es-CL"/>
        </w:rPr>
      </w:pPr>
    </w:p>
    <w:p w:rsidR="00FE595D" w:rsidRPr="00D64D74" w:rsidRDefault="007177B0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Sin embargo, esa situación 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se vio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>alterada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463AFF" w:rsidRPr="00D64D74">
        <w:rPr>
          <w:rFonts w:ascii="Verdana" w:eastAsia="Verdana" w:hAnsi="Verdana" w:cs="Verdana"/>
          <w:sz w:val="32"/>
          <w:szCs w:val="32"/>
          <w:lang w:val="es-CL"/>
        </w:rPr>
        <w:t>abruptamente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por el </w:t>
      </w:r>
      <w:r w:rsidR="00D90B02" w:rsidRPr="00D64D74">
        <w:rPr>
          <w:rFonts w:ascii="Verdana" w:eastAsia="Verdana" w:hAnsi="Verdana" w:cs="Verdana"/>
          <w:sz w:val="32"/>
          <w:szCs w:val="32"/>
          <w:lang w:val="es-CL"/>
        </w:rPr>
        <w:t>COVID 19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>Este nuevo virus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D90B0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irrumpió violentamente en todo el </w:t>
      </w:r>
      <w:r w:rsidR="00162994" w:rsidRPr="00D64D74">
        <w:rPr>
          <w:rFonts w:ascii="Verdana" w:eastAsia="Verdana" w:hAnsi="Verdana" w:cs="Verdana"/>
          <w:sz w:val="32"/>
          <w:szCs w:val="32"/>
          <w:lang w:val="es-CL"/>
        </w:rPr>
        <w:t>planeta</w:t>
      </w:r>
      <w:r w:rsidR="00D90B0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BD2FF3" w:rsidRPr="00D64D74">
        <w:rPr>
          <w:rFonts w:ascii="Verdana" w:eastAsia="Verdana" w:hAnsi="Verdana" w:cs="Verdana"/>
          <w:sz w:val="32"/>
          <w:szCs w:val="32"/>
          <w:lang w:val="es-CL"/>
        </w:rPr>
        <w:t>y transformó 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globalización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BD2FF3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una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inesperada </w:t>
      </w:r>
      <w:r w:rsidR="00BD2FF3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desventaja. 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>Resulta paradójico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las facilidades de desplazamiento entre las naciones, de indudable trascendencia para el desarrollo de los 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>Estados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>, ha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>ya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>n tenido el costo de acelerar en forma asombrosa la dispersión del virus en todo el mundo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Y 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>nuestro país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no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>fue la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excepción. </w:t>
      </w:r>
    </w:p>
    <w:p w:rsidR="00FE595D" w:rsidRPr="00D64D74" w:rsidRDefault="00FE595D" w:rsidP="006132CA">
      <w:pPr>
        <w:pStyle w:val="Sinespaciado"/>
        <w:spacing w:line="360" w:lineRule="auto"/>
        <w:ind w:firstLine="720"/>
        <w:rPr>
          <w:rFonts w:ascii="Verdana" w:hAnsi="Verdana"/>
          <w:sz w:val="32"/>
          <w:szCs w:val="32"/>
          <w:lang w:val="es-CL"/>
        </w:rPr>
      </w:pPr>
    </w:p>
    <w:p w:rsidR="00707D5D" w:rsidRPr="00D64D74" w:rsidRDefault="00FE595D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Son innumerables y 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>extensos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negativos efectos de esta enfermedad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>, lo que hace del pasado año 2020</w:t>
      </w:r>
      <w:r w:rsidR="001F4780">
        <w:rPr>
          <w:rFonts w:ascii="Verdana" w:eastAsia="Verdana" w:hAnsi="Verdana" w:cs="Verdana"/>
          <w:sz w:val="32"/>
          <w:szCs w:val="32"/>
          <w:lang w:val="es-CL"/>
        </w:rPr>
        <w:t xml:space="preserve"> y al menos de 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gran parte del presente 2021, tiempos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lastRenderedPageBreak/>
        <w:t>complejos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>Más adelante me referiré a los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efectos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 la pandemia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lo atingente a la administración de justicia. </w:t>
      </w:r>
    </w:p>
    <w:p w:rsidR="00707D5D" w:rsidRPr="00D64D74" w:rsidRDefault="00707D5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FE595D" w:rsidRPr="00D64D74" w:rsidRDefault="001F4780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>E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 el comienzo de mi alocución </w:t>
      </w:r>
      <w:r>
        <w:rPr>
          <w:rFonts w:ascii="Verdana" w:eastAsia="Verdana" w:hAnsi="Verdana" w:cs="Verdana"/>
          <w:sz w:val="32"/>
          <w:szCs w:val="32"/>
          <w:lang w:val="es-CL"/>
        </w:rPr>
        <w:t>quiero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destacar un hecho de enorme importancia: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sin perjuicio 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 este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>complejo escenario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el proceso constitu</w:t>
      </w:r>
      <w:r>
        <w:rPr>
          <w:rFonts w:ascii="Verdana" w:eastAsia="Verdana" w:hAnsi="Verdana" w:cs="Verdana"/>
          <w:sz w:val="32"/>
          <w:szCs w:val="32"/>
          <w:lang w:val="es-CL"/>
        </w:rPr>
        <w:t>cional</w:t>
      </w:r>
      <w:r w:rsidR="006B645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siguió su curso. A pesar de las dificultades que impuso la crisis sanitaria, 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que incluso obligó a retrasar en algunos meses </w:t>
      </w:r>
      <w:r w:rsidR="00FE595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cronograma previsto, el plebiscito de 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>octubre del año pas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ado demostró el compromiso del </w:t>
      </w:r>
      <w:r w:rsidR="00D32A28"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>stado y de la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sociedad chilena con este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>hito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>. Hubo</w:t>
      </w:r>
      <w:r w:rsidR="001A79C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altos niveles de participación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y se manifestó 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>de manera contundente la adherencia a una nueva Carta Fundamental</w:t>
      </w:r>
      <w:r w:rsidR="001A79C5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EA778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cuya redacción estará a cargo de personas elegidas directamente por la ciudadanía. Con mascarillas, guardando distancia y con urnas </w:t>
      </w:r>
      <w:r w:rsidR="00CE67CF" w:rsidRPr="00D64D74">
        <w:rPr>
          <w:rFonts w:ascii="Verdana" w:eastAsia="Verdana" w:hAnsi="Verdana" w:cs="Verdana"/>
          <w:sz w:val="32"/>
          <w:szCs w:val="32"/>
          <w:lang w:val="es-CL"/>
        </w:rPr>
        <w:t>inéditamente sin cortinas, pero con el clásico lápiz y papel, volvimos a demostrar que la simpleza de las fórmulas, cuando van acompañadas de se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riedad y conciencia ciudadana </w:t>
      </w:r>
      <w:r w:rsidR="001A79C5" w:rsidRPr="00D64D74">
        <w:rPr>
          <w:rFonts w:ascii="Verdana" w:eastAsia="Verdana" w:hAnsi="Verdana" w:cs="Verdana"/>
          <w:sz w:val="32"/>
          <w:szCs w:val="32"/>
          <w:lang w:val="es-CL"/>
        </w:rPr>
        <w:t>de</w:t>
      </w:r>
      <w:r w:rsidR="00CE67C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procesos democráticos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>, nos permiten adoptar las decisiones sociales más importantes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3E5A3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sin atisbos de duda en sus resultados, con celeridad y transparencia. Eso nos invita a mirar el futuro esperanzados con la participación activa y comprometida que nuestra sociedad ha mostrado.  </w:t>
      </w:r>
    </w:p>
    <w:p w:rsidR="007D3925" w:rsidRPr="00D64D74" w:rsidRDefault="007D3925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56D91" w:rsidRPr="00D64D74" w:rsidRDefault="003E5A3C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He señalado que la pandemia ha hecho de la pasada y presente anualidad </w:t>
      </w:r>
      <w:r w:rsidR="004D212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 período </w:t>
      </w:r>
      <w:r w:rsidR="001A79C5" w:rsidRPr="001F4780">
        <w:rPr>
          <w:rFonts w:ascii="Verdana" w:eastAsia="Verdana" w:hAnsi="Verdana" w:cs="Verdana"/>
          <w:sz w:val="32"/>
          <w:szCs w:val="32"/>
          <w:lang w:val="es-CL"/>
        </w:rPr>
        <w:t>complejo</w:t>
      </w:r>
      <w:r w:rsidR="004D212F" w:rsidRPr="001F4780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4D212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muy particular en relación a los años precedentes. Sus efectos no han exceptuado a ninguna persona o autoridad, ni a ninguna esfera de actuación privada y pública, alterando significativamente, en lo que se vincula con lo que hoy nos convoca, el comportamiento de los justiciables y del sistema de justicia. Por ello me permito advertir que 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tanto </w:t>
      </w:r>
      <w:r w:rsidR="004D212F" w:rsidRPr="00D64D74">
        <w:rPr>
          <w:rFonts w:ascii="Verdana" w:eastAsia="Verdana" w:hAnsi="Verdana" w:cs="Verdana"/>
          <w:sz w:val="32"/>
          <w:szCs w:val="32"/>
          <w:lang w:val="es-CL"/>
        </w:rPr>
        <w:t>las cifras a que pronto aludiré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como los actos e innovaciones que comentaré, </w:t>
      </w:r>
      <w:r w:rsidR="004D212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han de ser 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observados </w:t>
      </w:r>
      <w:r w:rsidR="004D212F" w:rsidRPr="00D64D74">
        <w:rPr>
          <w:rFonts w:ascii="Verdana" w:eastAsia="Verdana" w:hAnsi="Verdana" w:cs="Verdana"/>
          <w:sz w:val="32"/>
          <w:szCs w:val="32"/>
          <w:lang w:val="es-CL"/>
        </w:rPr>
        <w:t>con esa precaución</w:t>
      </w:r>
      <w:r w:rsidR="00094C3E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707D5D" w:rsidRPr="00D64D74" w:rsidRDefault="00707D5D" w:rsidP="006132CA">
      <w:pPr>
        <w:pStyle w:val="Sinespaciado"/>
        <w:spacing w:line="360" w:lineRule="auto"/>
        <w:ind w:firstLine="720"/>
        <w:rPr>
          <w:rFonts w:ascii="Verdana" w:hAnsi="Verdana"/>
          <w:sz w:val="32"/>
          <w:szCs w:val="32"/>
          <w:lang w:val="es-CL"/>
        </w:rPr>
      </w:pPr>
    </w:p>
    <w:p w:rsidR="004D212F" w:rsidRDefault="00756D91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Sin embargo, como espero haber demostrado para cuando termine esta cuenta, esta situación doblemente excepcional, de pandemia y </w:t>
      </w:r>
      <w:r w:rsidR="001F4780">
        <w:rPr>
          <w:rFonts w:ascii="Verdana" w:eastAsia="Verdana" w:hAnsi="Verdana" w:cs="Verdana"/>
          <w:sz w:val="32"/>
          <w:szCs w:val="32"/>
          <w:lang w:val="es-CL"/>
        </w:rPr>
        <w:t>proceso constituyente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ha podido ser manejada merced </w:t>
      </w:r>
      <w:r w:rsidR="00380F7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una estructura republicana robusta, en la que </w:t>
      </w:r>
      <w:r w:rsidR="002E33CE" w:rsidRPr="00D64D74">
        <w:rPr>
          <w:rFonts w:ascii="Verdana" w:eastAsia="Verdana" w:hAnsi="Verdana" w:cs="Verdana"/>
          <w:sz w:val="32"/>
          <w:szCs w:val="32"/>
          <w:lang w:val="es-CL"/>
        </w:rPr>
        <w:t>hemos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ratificado </w:t>
      </w:r>
      <w:r w:rsidR="00380F7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nuestro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compromiso </w:t>
      </w:r>
      <w:r w:rsidR="00380F7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con el rol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institucional y los Derechos Humanos.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>Sin perjuicio de la necesaria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autocrítica que siempre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debe emplear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>y con independencia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todas nuestras incertidumbres y dificultad</w:t>
      </w:r>
      <w:r w:rsidR="002E33CE"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s 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>puedo decir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2E33CE" w:rsidRPr="00D64D74">
        <w:rPr>
          <w:rFonts w:ascii="Verdana" w:eastAsia="Verdana" w:hAnsi="Verdana" w:cs="Verdana"/>
          <w:sz w:val="32"/>
          <w:szCs w:val="32"/>
          <w:lang w:val="es-CL"/>
        </w:rPr>
        <w:t>sin ambivalencias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Chile es un Estado de Derecho</w:t>
      </w:r>
      <w:r w:rsidR="005E001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ha mantenido firme </w:t>
      </w:r>
      <w:r w:rsidR="00FB0CBD" w:rsidRPr="00D64D74">
        <w:rPr>
          <w:rFonts w:ascii="Verdana" w:eastAsia="Verdana" w:hAnsi="Verdana" w:cs="Verdana"/>
          <w:sz w:val="32"/>
          <w:szCs w:val="32"/>
          <w:lang w:val="es-CL"/>
        </w:rPr>
        <w:t>los mecanismos de tutela para las personas, con una decidida promoción del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acceso a la justicia de toda la ciudadanía.</w:t>
      </w:r>
    </w:p>
    <w:p w:rsidR="004D2C6A" w:rsidRDefault="004D2C6A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FE56EB" w:rsidRDefault="00FE56EB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044121">
        <w:rPr>
          <w:rFonts w:ascii="Verdana" w:eastAsia="Verdana" w:hAnsi="Verdana" w:cs="Verdana"/>
          <w:sz w:val="32"/>
          <w:szCs w:val="32"/>
          <w:lang w:val="es-CL"/>
        </w:rPr>
        <w:t xml:space="preserve">Antes de iniciar el detalle de esta cuenta pública quiero agradecer la presencia de S.E. el Presidente de la República don Sebastián Piñera, quien junto a otras autoridades nos acompañan tanto en este salón como por medios virtuales. La asistencia de cada uno de ustedes 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>realza</w:t>
      </w:r>
      <w:r w:rsidRPr="00044121">
        <w:rPr>
          <w:rFonts w:ascii="Verdana" w:eastAsia="Verdana" w:hAnsi="Verdana" w:cs="Verdana"/>
          <w:sz w:val="32"/>
          <w:szCs w:val="32"/>
          <w:lang w:val="es-CL"/>
        </w:rPr>
        <w:t xml:space="preserve"> esta ceremonia republicana.</w:t>
      </w:r>
      <w:r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</w:p>
    <w:p w:rsidR="00FE56EB" w:rsidRPr="00D64D74" w:rsidRDefault="00FE56EB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C4050F" w:rsidRPr="00D64D74" w:rsidRDefault="00C4050F" w:rsidP="006132CA">
      <w:pPr>
        <w:pStyle w:val="Ttulo2"/>
        <w:spacing w:before="0" w:after="0" w:line="360" w:lineRule="auto"/>
      </w:pPr>
      <w:bookmarkStart w:id="3" w:name="_Toc65244159"/>
      <w:r w:rsidRPr="00D64D74">
        <w:t xml:space="preserve">Cifras y estadísticas </w:t>
      </w:r>
      <w:r w:rsidR="00496685" w:rsidRPr="00D64D74">
        <w:t>en</w:t>
      </w:r>
      <w:r w:rsidRPr="00D64D74">
        <w:t xml:space="preserve"> el contexto de pandemia</w:t>
      </w:r>
      <w:bookmarkEnd w:id="3"/>
    </w:p>
    <w:p w:rsidR="00890C7A" w:rsidRPr="00255D06" w:rsidRDefault="00890C7A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C900A7" w:rsidRPr="00D64D74" w:rsidRDefault="005C5712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>l encargo constitucional de los tribunales de la República es conocer y resolver los asuntos de relevancia jurídica que se someten a su conocimiento</w:t>
      </w:r>
      <w:r w:rsidR="00C900A7" w:rsidRPr="00D64D74">
        <w:rPr>
          <w:rFonts w:ascii="Verdana" w:hAnsi="Verdana"/>
          <w:sz w:val="32"/>
          <w:szCs w:val="32"/>
          <w:lang w:val="es-CL"/>
        </w:rPr>
        <w:t xml:space="preserve">. </w:t>
      </w:r>
    </w:p>
    <w:p w:rsidR="00C900A7" w:rsidRPr="00D64D74" w:rsidRDefault="00C900A7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56D91" w:rsidRPr="00D64D74" w:rsidRDefault="00C900A7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Pues bien, como he anticipado, este cometido se ha visto 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indudablemente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afectado por la crisis sanitaria que hemos vivido.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poco andar de la pandemia se publicó la </w:t>
      </w:r>
      <w:r w:rsidR="004E7614" w:rsidRPr="00D64D74">
        <w:rPr>
          <w:rFonts w:ascii="Verdana" w:eastAsia="Verdana" w:hAnsi="Verdana" w:cs="Verdana"/>
          <w:sz w:val="32"/>
          <w:szCs w:val="32"/>
          <w:lang w:val="es-CL"/>
        </w:rPr>
        <w:t>L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ey </w:t>
      </w:r>
      <w:r w:rsidR="004E7614" w:rsidRPr="00D64D74">
        <w:rPr>
          <w:rFonts w:ascii="Verdana" w:eastAsia="Verdana" w:hAnsi="Verdana" w:cs="Verdana"/>
          <w:sz w:val="32"/>
          <w:szCs w:val="32"/>
          <w:lang w:val="es-CL"/>
        </w:rPr>
        <w:t>N°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21.226 que “</w:t>
      </w:r>
      <w:r w:rsidRPr="00D64D74">
        <w:rPr>
          <w:rFonts w:ascii="Verdana" w:eastAsia="Verdana" w:hAnsi="Verdana" w:cs="Verdana"/>
          <w:i/>
          <w:sz w:val="32"/>
          <w:szCs w:val="32"/>
          <w:lang w:val="es-CL"/>
        </w:rPr>
        <w:t xml:space="preserve">establece un régimen jurídico de excepción para los procesos judiciales, en las audiencias y actuaciones judiciales, y para los plazos y ejercicio de las acciones que indica, por el impacto de la enfermedad </w:t>
      </w:r>
      <w:r w:rsidR="009D3E2D">
        <w:rPr>
          <w:rFonts w:ascii="Verdana" w:eastAsia="Verdana" w:hAnsi="Verdana" w:cs="Verdana"/>
          <w:i/>
          <w:sz w:val="32"/>
          <w:szCs w:val="32"/>
          <w:lang w:val="es-CL"/>
        </w:rPr>
        <w:t>COVID</w:t>
      </w:r>
      <w:r w:rsidRPr="00D64D74">
        <w:rPr>
          <w:rFonts w:ascii="Verdana" w:eastAsia="Verdana" w:hAnsi="Verdana" w:cs="Verdana"/>
          <w:i/>
          <w:sz w:val="32"/>
          <w:szCs w:val="32"/>
          <w:lang w:val="es-CL"/>
        </w:rPr>
        <w:t xml:space="preserve">-19 en </w:t>
      </w:r>
      <w:r w:rsidR="00756D91" w:rsidRPr="00D64D74">
        <w:rPr>
          <w:rFonts w:ascii="Verdana" w:eastAsia="Verdana" w:hAnsi="Verdana" w:cs="Verdana"/>
          <w:i/>
          <w:sz w:val="32"/>
          <w:szCs w:val="32"/>
          <w:lang w:val="es-CL"/>
        </w:rPr>
        <w:t>C</w:t>
      </w:r>
      <w:r w:rsidRPr="00D64D74">
        <w:rPr>
          <w:rFonts w:ascii="Verdana" w:eastAsia="Verdana" w:hAnsi="Verdana" w:cs="Verdana"/>
          <w:i/>
          <w:sz w:val="32"/>
          <w:szCs w:val="32"/>
          <w:lang w:val="es-CL"/>
        </w:rPr>
        <w:t>hile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”, la que complementada por el Auto Acordado 53-2020 del Pleno de la Corte Suprema, estableció lo que sería la estrategia del Estado 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>c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hileno en materi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>a de administración de justicia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durante la Pandemia: priorizar la salud y la seguridad de la ciudadanía y 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 xml:space="preserve">de </w:t>
      </w:r>
      <w:r w:rsidR="00756D91" w:rsidRPr="00D64D74">
        <w:rPr>
          <w:rFonts w:ascii="Verdana" w:eastAsia="Verdana" w:hAnsi="Verdana" w:cs="Verdana"/>
          <w:sz w:val="32"/>
          <w:szCs w:val="32"/>
          <w:lang w:val="es-CL"/>
        </w:rPr>
        <w:t>los funcionarios del Poder Judicial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756D91" w:rsidRPr="00D64D74" w:rsidRDefault="00756D91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 esto, 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más allá 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>de lo difícil de la decisión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las críticas que 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>pudieron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haber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>se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levantado en su oportunidad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6A377B">
        <w:rPr>
          <w:rFonts w:ascii="Verdana" w:eastAsia="Verdana" w:hAnsi="Verdana" w:cs="Verdana"/>
          <w:sz w:val="32"/>
          <w:szCs w:val="32"/>
          <w:lang w:val="es-CL"/>
        </w:rPr>
        <w:t>creo que no nos equivocamos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>. Nuestro deber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>siempre será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priorizar la protección de la población y 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 xml:space="preserve">de 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>los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funcionarios del Poder Judicial</w:t>
      </w:r>
      <w:r w:rsidR="009D3E2D">
        <w:rPr>
          <w:rFonts w:ascii="Verdana" w:eastAsia="Verdana" w:hAnsi="Verdana" w:cs="Verdana"/>
          <w:sz w:val="32"/>
          <w:szCs w:val="32"/>
          <w:lang w:val="es-CL"/>
        </w:rPr>
        <w:t>;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así </w:t>
      </w:r>
      <w:r w:rsidR="004E761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lo 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>hicimos.</w:t>
      </w:r>
    </w:p>
    <w:p w:rsidR="00806ED5" w:rsidRPr="00D64D74" w:rsidRDefault="00806ED5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6877ED" w:rsidRDefault="00C21165" w:rsidP="006132CA">
      <w:pPr>
        <w:spacing w:line="360" w:lineRule="auto"/>
        <w:ind w:firstLine="700"/>
        <w:jc w:val="both"/>
        <w:rPr>
          <w:rFonts w:ascii="Verdana" w:hAnsi="Verdana"/>
          <w:sz w:val="32"/>
          <w:szCs w:val="32"/>
          <w:lang w:val="es-CL"/>
        </w:rPr>
      </w:pPr>
      <w:r w:rsidRPr="00AE59FD">
        <w:rPr>
          <w:rFonts w:ascii="Verdana" w:eastAsia="Verdana" w:hAnsi="Verdana" w:cs="Verdana"/>
          <w:sz w:val="32"/>
          <w:szCs w:val="32"/>
          <w:lang w:val="es-CL"/>
        </w:rPr>
        <w:t>Como es evidente</w:t>
      </w:r>
      <w:r w:rsidR="004E7614" w:rsidRPr="00AE59FD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756D91" w:rsidRPr="00AE59FD">
        <w:rPr>
          <w:rFonts w:ascii="Verdana" w:eastAsia="Verdana" w:hAnsi="Verdana" w:cs="Verdana"/>
          <w:sz w:val="32"/>
          <w:szCs w:val="32"/>
          <w:lang w:val="es-CL"/>
        </w:rPr>
        <w:t xml:space="preserve"> l</w:t>
      </w:r>
      <w:r w:rsidR="00867B0D" w:rsidRPr="00AE59FD">
        <w:rPr>
          <w:rFonts w:ascii="Verdana" w:eastAsia="Verdana" w:hAnsi="Verdana" w:cs="Verdana"/>
          <w:sz w:val="32"/>
          <w:szCs w:val="32"/>
          <w:lang w:val="es-CL"/>
        </w:rPr>
        <w:t xml:space="preserve">os </w:t>
      </w:r>
      <w:r w:rsidR="006A377B">
        <w:rPr>
          <w:rFonts w:ascii="Verdana" w:eastAsia="Verdana" w:hAnsi="Verdana" w:cs="Verdana"/>
          <w:sz w:val="32"/>
          <w:szCs w:val="32"/>
          <w:lang w:val="es-CL"/>
        </w:rPr>
        <w:t>efectos de la</w:t>
      </w:r>
      <w:r w:rsidR="00867B0D" w:rsidRPr="00AE59FD">
        <w:rPr>
          <w:rFonts w:ascii="Verdana" w:eastAsia="Verdana" w:hAnsi="Verdana" w:cs="Verdana"/>
          <w:sz w:val="32"/>
          <w:szCs w:val="32"/>
          <w:lang w:val="es-CL"/>
        </w:rPr>
        <w:t xml:space="preserve"> emergencia sanitaria </w:t>
      </w:r>
      <w:r w:rsidR="006A377B">
        <w:rPr>
          <w:rFonts w:ascii="Verdana" w:eastAsia="Verdana" w:hAnsi="Verdana" w:cs="Verdana"/>
          <w:sz w:val="32"/>
          <w:szCs w:val="32"/>
          <w:lang w:val="es-CL"/>
        </w:rPr>
        <w:t>se reflejan</w:t>
      </w:r>
      <w:r w:rsidR="00867B0D" w:rsidRPr="00AE59FD">
        <w:rPr>
          <w:rFonts w:ascii="Verdana" w:eastAsia="Verdana" w:hAnsi="Verdana" w:cs="Verdana"/>
          <w:sz w:val="32"/>
          <w:szCs w:val="32"/>
          <w:lang w:val="es-CL"/>
        </w:rPr>
        <w:t xml:space="preserve"> en los números que a continuación mencionaré. </w:t>
      </w:r>
      <w:r w:rsidR="00AE59FD">
        <w:rPr>
          <w:rFonts w:ascii="Verdana" w:hAnsi="Verdana"/>
          <w:sz w:val="32"/>
          <w:szCs w:val="32"/>
          <w:lang w:val="es-CL"/>
        </w:rPr>
        <w:t xml:space="preserve">El detalle de </w:t>
      </w:r>
      <w:r w:rsidR="00094C3E">
        <w:rPr>
          <w:rFonts w:ascii="Verdana" w:hAnsi="Verdana"/>
          <w:sz w:val="32"/>
          <w:szCs w:val="32"/>
          <w:lang w:val="es-CL"/>
        </w:rPr>
        <w:t>l</w:t>
      </w:r>
      <w:r w:rsidR="00AE59FD">
        <w:rPr>
          <w:rFonts w:ascii="Verdana" w:hAnsi="Verdana"/>
          <w:sz w:val="32"/>
          <w:szCs w:val="32"/>
          <w:lang w:val="es-CL"/>
        </w:rPr>
        <w:t>os datos</w:t>
      </w:r>
      <w:r w:rsidR="006877ED" w:rsidRPr="00AE59FD">
        <w:rPr>
          <w:rFonts w:ascii="Verdana" w:hAnsi="Verdana"/>
          <w:sz w:val="32"/>
          <w:szCs w:val="32"/>
          <w:lang w:val="es-CL"/>
        </w:rPr>
        <w:t xml:space="preserve"> se encu</w:t>
      </w:r>
      <w:r w:rsidR="00AE59FD" w:rsidRPr="00AE59FD">
        <w:rPr>
          <w:rFonts w:ascii="Verdana" w:hAnsi="Verdana"/>
          <w:sz w:val="32"/>
          <w:szCs w:val="32"/>
          <w:lang w:val="es-CL"/>
        </w:rPr>
        <w:t>entra, a partir de este momento</w:t>
      </w:r>
      <w:r w:rsidR="00AE59FD">
        <w:rPr>
          <w:rFonts w:ascii="Verdana" w:hAnsi="Verdana"/>
          <w:sz w:val="32"/>
          <w:szCs w:val="32"/>
          <w:lang w:val="es-CL"/>
        </w:rPr>
        <w:t>,</w:t>
      </w:r>
      <w:r w:rsidR="006877ED" w:rsidRPr="00AE59FD">
        <w:rPr>
          <w:rFonts w:ascii="Verdana" w:hAnsi="Verdana"/>
          <w:sz w:val="32"/>
          <w:szCs w:val="32"/>
          <w:lang w:val="es-CL"/>
        </w:rPr>
        <w:t xml:space="preserve"> a disposición de la ciudadanía en el sitio web de nuestra institución.</w:t>
      </w:r>
    </w:p>
    <w:p w:rsidR="006132CA" w:rsidRDefault="006132CA" w:rsidP="006132CA">
      <w:pPr>
        <w:spacing w:line="360" w:lineRule="auto"/>
        <w:ind w:firstLine="700"/>
        <w:jc w:val="both"/>
        <w:rPr>
          <w:rFonts w:ascii="Verdana" w:hAnsi="Verdana"/>
          <w:sz w:val="32"/>
          <w:szCs w:val="32"/>
          <w:lang w:val="es-CL"/>
        </w:rPr>
      </w:pPr>
    </w:p>
    <w:p w:rsidR="00CD5D0B" w:rsidRPr="00CD5D0B" w:rsidRDefault="00CD5D0B" w:rsidP="006132CA">
      <w:pPr>
        <w:pStyle w:val="Ttulo3"/>
        <w:numPr>
          <w:ilvl w:val="0"/>
          <w:numId w:val="16"/>
        </w:numPr>
        <w:spacing w:before="0" w:after="0" w:line="360" w:lineRule="auto"/>
        <w:ind w:left="1418" w:hanging="709"/>
        <w:jc w:val="both"/>
        <w:rPr>
          <w:rFonts w:ascii="Verdana" w:hAnsi="Verdana"/>
          <w:sz w:val="32"/>
          <w:szCs w:val="32"/>
        </w:rPr>
      </w:pPr>
      <w:bookmarkStart w:id="4" w:name="_Toc65244160"/>
      <w:r w:rsidRPr="00CD5D0B">
        <w:rPr>
          <w:rFonts w:ascii="Verdana" w:hAnsi="Verdana"/>
          <w:sz w:val="32"/>
          <w:szCs w:val="32"/>
        </w:rPr>
        <w:t>Tribunales que forman parte del Poder Judicial</w:t>
      </w:r>
      <w:bookmarkEnd w:id="4"/>
    </w:p>
    <w:p w:rsidR="00CD5D0B" w:rsidRPr="006132CA" w:rsidRDefault="00CD5D0B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F06792" w:rsidRPr="00D64D74" w:rsidRDefault="00C21165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Entrando ya en materia: ¿Qué dicen las cifras? </w:t>
      </w:r>
      <w:r w:rsidR="00600C8E" w:rsidRPr="00D64D74">
        <w:rPr>
          <w:rFonts w:ascii="Verdana" w:eastAsia="Verdana" w:hAnsi="Verdana" w:cs="Verdana"/>
          <w:sz w:val="32"/>
          <w:szCs w:val="32"/>
          <w:lang w:val="es-CL"/>
        </w:rPr>
        <w:t>L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os </w:t>
      </w:r>
      <w:r w:rsidR="00C900A7" w:rsidRPr="00777F1E">
        <w:rPr>
          <w:rFonts w:ascii="Verdana" w:eastAsia="Verdana" w:hAnsi="Verdana" w:cs="Verdana"/>
          <w:b/>
          <w:sz w:val="32"/>
          <w:szCs w:val="32"/>
          <w:lang w:val="es-CL"/>
        </w:rPr>
        <w:t>tribunales de primer grado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600C8E" w:rsidRPr="00D64D74">
        <w:rPr>
          <w:rFonts w:ascii="Verdana" w:eastAsia="Verdana" w:hAnsi="Verdana" w:cs="Verdana"/>
          <w:sz w:val="32"/>
          <w:szCs w:val="32"/>
          <w:lang w:val="es-CL"/>
        </w:rPr>
        <w:t>que comprenden a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aquellos que conocen 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>asuntos de familia, l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aborales, de cobranza laboral y 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>previsional, penales y civiles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</w:t>
      </w:r>
      <w:r w:rsidR="00867B0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año 2020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tuvieron ingresos de 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más de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2</w:t>
      </w:r>
      <w:r w:rsidR="00CC5853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00C8E" w:rsidRPr="00D64D74">
        <w:rPr>
          <w:rFonts w:ascii="Verdana" w:eastAsia="Verdana" w:hAnsi="Verdana" w:cs="Verdana"/>
          <w:sz w:val="32"/>
          <w:szCs w:val="32"/>
          <w:lang w:val="es-CL"/>
        </w:rPr>
        <w:t xml:space="preserve">millones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660</w:t>
      </w:r>
      <w:r w:rsidR="00AE59FD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00C8E" w:rsidRPr="00D64D74">
        <w:rPr>
          <w:rFonts w:ascii="Verdana" w:eastAsia="Verdana" w:hAnsi="Verdana" w:cs="Verdana"/>
          <w:sz w:val="32"/>
          <w:szCs w:val="32"/>
          <w:lang w:val="es-CL"/>
        </w:rPr>
        <w:t>mil causas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lo que significó una disminución de un </w:t>
      </w:r>
      <w:r w:rsidR="00600C8E" w:rsidRPr="00D64D74">
        <w:rPr>
          <w:rFonts w:ascii="Verdana" w:eastAsia="Verdana" w:hAnsi="Verdana" w:cs="Verdana"/>
          <w:sz w:val="32"/>
          <w:szCs w:val="32"/>
          <w:lang w:val="es-CL"/>
        </w:rPr>
        <w:t>21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% respecto </w:t>
      </w:r>
      <w:r w:rsidR="00806ED5" w:rsidRPr="00D64D74">
        <w:rPr>
          <w:rFonts w:ascii="Verdana" w:eastAsia="Verdana" w:hAnsi="Verdana" w:cs="Verdana"/>
          <w:sz w:val="32"/>
          <w:szCs w:val="32"/>
          <w:lang w:val="es-CL"/>
        </w:rPr>
        <w:t>al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 xml:space="preserve"> 2019</w:t>
      </w:r>
      <w:r w:rsidR="00600C8E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707D5D" w:rsidRPr="00D64D74" w:rsidRDefault="00707D5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867B0D" w:rsidRPr="00D64D74" w:rsidRDefault="00600C8E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Por su parte, </w:t>
      </w:r>
      <w:r w:rsidR="00AE59FD">
        <w:rPr>
          <w:rFonts w:ascii="Verdana" w:eastAsia="Verdana" w:hAnsi="Verdana" w:cs="Verdana"/>
          <w:sz w:val="32"/>
          <w:szCs w:val="32"/>
          <w:lang w:val="es-CL"/>
        </w:rPr>
        <w:t xml:space="preserve">las causas terminadas fueron más de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 xml:space="preserve">1 </w:t>
      </w:r>
      <w:r w:rsidR="00AE59FD">
        <w:rPr>
          <w:rFonts w:ascii="Verdana" w:eastAsia="Verdana" w:hAnsi="Verdana" w:cs="Verdana"/>
          <w:sz w:val="32"/>
          <w:szCs w:val="32"/>
          <w:lang w:val="es-CL"/>
        </w:rPr>
        <w:t xml:space="preserve">millón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920</w:t>
      </w:r>
      <w:r w:rsidR="00AE59FD">
        <w:rPr>
          <w:rFonts w:ascii="Verdana" w:eastAsia="Verdana" w:hAnsi="Verdana" w:cs="Verdana"/>
          <w:sz w:val="32"/>
          <w:szCs w:val="32"/>
          <w:lang w:val="es-CL"/>
        </w:rPr>
        <w:t xml:space="preserve"> mil, lo que implicó un </w:t>
      </w:r>
      <w:r w:rsidR="0088235B" w:rsidRPr="00D64D74">
        <w:rPr>
          <w:rFonts w:ascii="Verdana" w:eastAsia="Verdana" w:hAnsi="Verdana" w:cs="Verdana"/>
          <w:sz w:val="32"/>
          <w:szCs w:val="32"/>
          <w:lang w:val="es-CL"/>
        </w:rPr>
        <w:t>descenso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AE59FD">
        <w:rPr>
          <w:rFonts w:ascii="Verdana" w:eastAsia="Verdana" w:hAnsi="Verdana" w:cs="Verdana"/>
          <w:sz w:val="32"/>
          <w:szCs w:val="32"/>
          <w:lang w:val="es-CL"/>
        </w:rPr>
        <w:t>del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27</w:t>
      </w:r>
      <w:r w:rsidR="00296E09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5% en relación </w:t>
      </w:r>
      <w:r w:rsidR="00AE59FD">
        <w:rPr>
          <w:rFonts w:ascii="Verdana" w:eastAsia="Verdana" w:hAnsi="Verdana" w:cs="Verdana"/>
          <w:sz w:val="32"/>
          <w:szCs w:val="32"/>
          <w:lang w:val="es-CL"/>
        </w:rPr>
        <w:t>al año anterior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</w:p>
    <w:p w:rsidR="006877ED" w:rsidRPr="00D64D74" w:rsidRDefault="006877ED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157D89" w:rsidRPr="00D64D74" w:rsidRDefault="00CB2218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Por otra parte, </w:t>
      </w:r>
      <w:r w:rsidR="00F06792" w:rsidRPr="00D64D74">
        <w:rPr>
          <w:rFonts w:ascii="Verdana" w:eastAsia="Verdana" w:hAnsi="Verdana" w:cs="Verdana"/>
          <w:sz w:val="32"/>
          <w:szCs w:val="32"/>
          <w:lang w:val="es-CL"/>
        </w:rPr>
        <w:t>al 31 de diciembre del año 2020</w:t>
      </w:r>
      <w:r w:rsidR="0088235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>se contabilizaron</w:t>
      </w:r>
      <w:r w:rsidR="0088235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 xml:space="preserve">más de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 xml:space="preserve">2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 xml:space="preserve">millones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650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 xml:space="preserve"> mil causas pendientes</w:t>
      </w:r>
      <w:r w:rsidR="0088235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>representando un aumento de un 13,9% respecto de 2019.</w:t>
      </w:r>
    </w:p>
    <w:p w:rsidR="00CB2218" w:rsidRPr="00D64D74" w:rsidRDefault="00CB2218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157D89" w:rsidRPr="00D64D74" w:rsidRDefault="005B2972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Es indudable que estas cifras se han visto influenciadas por la pandemia, particularmente por las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>interrupciones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la tramitación de los juic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 xml:space="preserve">ios ordenada por la ley </w:t>
      </w:r>
      <w:r w:rsidR="00BC1F9A" w:rsidRPr="00D64D74">
        <w:rPr>
          <w:rFonts w:ascii="Verdana" w:eastAsia="Verdana" w:hAnsi="Verdana" w:cs="Verdana"/>
          <w:sz w:val="32"/>
          <w:szCs w:val="32"/>
          <w:lang w:val="es-CL"/>
        </w:rPr>
        <w:t>de suspensión de plazos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>.</w:t>
      </w:r>
      <w:r w:rsidR="00296E0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>Esto</w:t>
      </w:r>
      <w:r w:rsidR="00296E0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se refleja </w:t>
      </w:r>
      <w:r w:rsidR="00094C3E">
        <w:rPr>
          <w:rFonts w:ascii="Verdana" w:eastAsia="Verdana" w:hAnsi="Verdana" w:cs="Verdana"/>
          <w:sz w:val="32"/>
          <w:szCs w:val="32"/>
          <w:lang w:val="es-CL"/>
        </w:rPr>
        <w:t xml:space="preserve">en materia penal, laboral y civil </w:t>
      </w:r>
      <w:r w:rsidR="007C53A7">
        <w:rPr>
          <w:rFonts w:ascii="Verdana" w:eastAsia="Verdana" w:hAnsi="Verdana" w:cs="Verdana"/>
          <w:sz w:val="32"/>
          <w:szCs w:val="32"/>
          <w:lang w:val="es-CL"/>
        </w:rPr>
        <w:t>y</w:t>
      </w:r>
      <w:r w:rsidR="00296E0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además, se refuerza en el caso de los tribunales de familia por efecto de los esfuerzos destinados a tramitar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 xml:space="preserve">las retenciones </w:t>
      </w:r>
      <w:r w:rsidR="00296E0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del 10% de las AFP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  <w:r w:rsidR="004864C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094C3E">
        <w:rPr>
          <w:rFonts w:ascii="Verdana" w:eastAsia="Verdana" w:hAnsi="Verdana" w:cs="Verdana"/>
          <w:sz w:val="32"/>
          <w:szCs w:val="32"/>
          <w:lang w:val="es-CL"/>
        </w:rPr>
        <w:t>Hay</w:t>
      </w:r>
      <w:r w:rsidR="0088235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mucho trabajo </w:t>
      </w:r>
      <w:r w:rsidR="00094C3E">
        <w:rPr>
          <w:rFonts w:ascii="Verdana" w:eastAsia="Verdana" w:hAnsi="Verdana" w:cs="Verdana"/>
          <w:sz w:val="32"/>
          <w:szCs w:val="32"/>
          <w:lang w:val="es-CL"/>
        </w:rPr>
        <w:t>por</w:t>
      </w:r>
      <w:r w:rsidR="0088235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hacer y los tribunales durante este 2021 </w:t>
      </w:r>
      <w:r w:rsidR="0071480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tendremos que </w:t>
      </w:r>
      <w:r w:rsidR="00BC1F9A" w:rsidRPr="00D64D74">
        <w:rPr>
          <w:rFonts w:ascii="Verdana" w:eastAsia="Verdana" w:hAnsi="Verdana" w:cs="Verdana"/>
          <w:sz w:val="32"/>
          <w:szCs w:val="32"/>
          <w:lang w:val="es-CL"/>
        </w:rPr>
        <w:t>redoblar los esfuerzos</w:t>
      </w:r>
      <w:r w:rsidR="0071480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para</w:t>
      </w:r>
      <w:r w:rsidR="00157D8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normalizar </w:t>
      </w:r>
      <w:r w:rsidR="00690078" w:rsidRPr="00D64D74">
        <w:rPr>
          <w:rFonts w:ascii="Verdana" w:eastAsia="Verdana" w:hAnsi="Verdana" w:cs="Verdana"/>
          <w:sz w:val="32"/>
          <w:szCs w:val="32"/>
          <w:lang w:val="es-CL"/>
        </w:rPr>
        <w:t>el inventario de causas pendientes</w:t>
      </w:r>
      <w:r w:rsidR="00157D8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D76A80" w:rsidRPr="00255D06" w:rsidRDefault="00D76A80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157D89" w:rsidRPr="00255D06" w:rsidRDefault="00F6358A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las </w:t>
      </w:r>
      <w:r w:rsidRPr="00094C3E">
        <w:rPr>
          <w:rFonts w:ascii="Verdana" w:eastAsia="Verdana" w:hAnsi="Verdana" w:cs="Verdana"/>
          <w:b/>
          <w:sz w:val="32"/>
          <w:szCs w:val="32"/>
          <w:lang w:val="es-CL"/>
        </w:rPr>
        <w:t>Cortes de Apelaciones</w:t>
      </w:r>
      <w:r w:rsidR="004864CC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D76A80" w:rsidRPr="00D64D74">
        <w:rPr>
          <w:rFonts w:ascii="Verdana" w:eastAsia="Verdana" w:hAnsi="Verdana" w:cs="Verdana"/>
          <w:sz w:val="32"/>
          <w:szCs w:val="32"/>
          <w:lang w:val="es-CL"/>
        </w:rPr>
        <w:t>d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urante el año 2020 ingresaron </w:t>
      </w:r>
      <w:r w:rsidR="001A3134" w:rsidRPr="00D64D74">
        <w:rPr>
          <w:rFonts w:ascii="Verdana" w:eastAsia="Verdana" w:hAnsi="Verdana" w:cs="Verdana"/>
          <w:sz w:val="32"/>
          <w:szCs w:val="32"/>
          <w:lang w:val="es-CL"/>
        </w:rPr>
        <w:t>345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mil </w:t>
      </w:r>
      <w:r w:rsidR="00445F27" w:rsidRPr="00D64D74">
        <w:rPr>
          <w:rFonts w:ascii="Verdana" w:eastAsia="Verdana" w:hAnsi="Verdana" w:cs="Verdana"/>
          <w:sz w:val="32"/>
          <w:szCs w:val="32"/>
          <w:lang w:val="es-CL"/>
        </w:rPr>
        <w:t>causas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cifra inferior </w:t>
      </w:r>
      <w:r w:rsidR="00777F1E">
        <w:rPr>
          <w:rFonts w:ascii="Verdana" w:eastAsia="Verdana" w:hAnsi="Verdana" w:cs="Verdana"/>
          <w:sz w:val="32"/>
          <w:szCs w:val="32"/>
          <w:lang w:val="es-CL"/>
        </w:rPr>
        <w:t>al 2019 en un 33,5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>%.</w:t>
      </w:r>
    </w:p>
    <w:p w:rsidR="00707D5D" w:rsidRPr="00D64D74" w:rsidRDefault="00707D5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0B7B1F" w:rsidRPr="00D64D74" w:rsidRDefault="000B7B1F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Tal como en años anteriores, la mayor carga de ingresos estu</w:t>
      </w:r>
      <w:r w:rsidR="00777F1E">
        <w:rPr>
          <w:rFonts w:ascii="Verdana" w:eastAsia="Verdana" w:hAnsi="Verdana" w:cs="Verdana"/>
          <w:sz w:val="32"/>
          <w:szCs w:val="32"/>
          <w:lang w:val="es-CL"/>
        </w:rPr>
        <w:t>vo radicada en los recursos de p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rotección</w:t>
      </w:r>
      <w:r w:rsidR="00D76A80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con más de </w:t>
      </w:r>
      <w:r w:rsidR="00445F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223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mil ingresos. Entre estos, los recursos de protección asociados a la materia “Isapres”</w:t>
      </w:r>
      <w:r w:rsidR="00D76A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nuevamente,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son aquellos más representativos</w:t>
      </w:r>
      <w:r w:rsidR="00445F27" w:rsidRPr="00D64D74">
        <w:rPr>
          <w:rFonts w:ascii="Verdana" w:eastAsia="Verdana" w:hAnsi="Verdana" w:cs="Verdana"/>
          <w:sz w:val="32"/>
          <w:szCs w:val="32"/>
          <w:lang w:val="es-CL"/>
        </w:rPr>
        <w:t>, con poco más de 208 mil causas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3A1EEA" w:rsidRPr="00D64D74">
        <w:rPr>
          <w:rFonts w:ascii="Verdana" w:eastAsia="Verdana" w:hAnsi="Verdana" w:cs="Verdana"/>
          <w:sz w:val="32"/>
          <w:szCs w:val="32"/>
          <w:lang w:val="es-CL"/>
        </w:rPr>
        <w:t>Si no consideráramos</w:t>
      </w:r>
      <w:r w:rsidR="00445F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las causas de Isapres, la d</w:t>
      </w:r>
      <w:r w:rsidR="004864CC" w:rsidRPr="00D64D74">
        <w:rPr>
          <w:rFonts w:ascii="Verdana" w:eastAsia="Verdana" w:hAnsi="Verdana" w:cs="Verdana"/>
          <w:sz w:val="32"/>
          <w:szCs w:val="32"/>
          <w:lang w:val="es-CL"/>
        </w:rPr>
        <w:t>i</w:t>
      </w:r>
      <w:r w:rsidR="00445F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sminución de los ingresos en Cortes de Apelaciones </w:t>
      </w:r>
      <w:r w:rsidR="003A1EEA" w:rsidRPr="00D64D74">
        <w:rPr>
          <w:rFonts w:ascii="Verdana" w:eastAsia="Verdana" w:hAnsi="Verdana" w:cs="Verdana"/>
          <w:sz w:val="32"/>
          <w:szCs w:val="32"/>
          <w:lang w:val="es-CL"/>
        </w:rPr>
        <w:t>se reduciría al</w:t>
      </w:r>
      <w:r w:rsidR="00445F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1D3186" w:rsidRPr="00D64D74">
        <w:rPr>
          <w:rFonts w:ascii="Verdana" w:eastAsia="Verdana" w:hAnsi="Verdana" w:cs="Verdana"/>
          <w:sz w:val="32"/>
          <w:szCs w:val="32"/>
          <w:lang w:val="es-CL"/>
        </w:rPr>
        <w:t>4</w:t>
      </w:r>
      <w:r w:rsidR="00777F1E">
        <w:rPr>
          <w:rFonts w:ascii="Verdana" w:eastAsia="Verdana" w:hAnsi="Verdana" w:cs="Verdana"/>
          <w:sz w:val="32"/>
          <w:szCs w:val="32"/>
          <w:lang w:val="es-CL"/>
        </w:rPr>
        <w:t>,2</w:t>
      </w:r>
      <w:r w:rsidR="001D3186" w:rsidRPr="00D64D74">
        <w:rPr>
          <w:rFonts w:ascii="Verdana" w:eastAsia="Verdana" w:hAnsi="Verdana" w:cs="Verdana"/>
          <w:sz w:val="32"/>
          <w:szCs w:val="32"/>
          <w:lang w:val="es-CL"/>
        </w:rPr>
        <w:t>%.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</w:p>
    <w:p w:rsidR="0055792A" w:rsidRPr="00D64D74" w:rsidRDefault="0055792A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F91B33" w:rsidRPr="00D64D74" w:rsidRDefault="00117252" w:rsidP="006132CA">
      <w:pPr>
        <w:tabs>
          <w:tab w:val="left" w:pos="2128"/>
        </w:tabs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Los términos, por su parte, experimentaron un aumento de un 70</w:t>
      </w:r>
      <w:r w:rsidR="006224BF">
        <w:rPr>
          <w:rFonts w:ascii="Verdana" w:eastAsia="Verdana" w:hAnsi="Verdana" w:cs="Verdana"/>
          <w:sz w:val="32"/>
          <w:szCs w:val="32"/>
          <w:lang w:val="es-CL"/>
        </w:rPr>
        <w:t>,5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%</w:t>
      </w:r>
      <w:r w:rsidR="001D3186" w:rsidRPr="00D64D74">
        <w:rPr>
          <w:rFonts w:ascii="Verdana" w:eastAsia="Verdana" w:hAnsi="Verdana" w:cs="Verdana"/>
          <w:sz w:val="32"/>
          <w:szCs w:val="32"/>
          <w:lang w:val="es-CL"/>
        </w:rPr>
        <w:t>, con más de 519 mil ca</w:t>
      </w:r>
      <w:r w:rsidR="00777F1E">
        <w:rPr>
          <w:rFonts w:ascii="Verdana" w:eastAsia="Verdana" w:hAnsi="Verdana" w:cs="Verdana"/>
          <w:sz w:val="32"/>
          <w:szCs w:val="32"/>
          <w:lang w:val="es-CL"/>
        </w:rPr>
        <w:t>usas</w:t>
      </w:r>
      <w:r w:rsidR="001D3186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DB14DB" w:rsidRPr="00D64D74">
        <w:rPr>
          <w:rFonts w:ascii="Verdana" w:eastAsia="Verdana" w:hAnsi="Verdana" w:cs="Verdana"/>
          <w:sz w:val="32"/>
          <w:szCs w:val="32"/>
          <w:lang w:val="es-CL"/>
        </w:rPr>
        <w:t>mientras que l</w:t>
      </w:r>
      <w:r w:rsidR="001D3186" w:rsidRPr="00D64D74">
        <w:rPr>
          <w:rFonts w:ascii="Verdana" w:eastAsia="Verdana" w:hAnsi="Verdana" w:cs="Verdana"/>
          <w:sz w:val="32"/>
          <w:szCs w:val="32"/>
          <w:lang w:val="es-CL"/>
        </w:rPr>
        <w:t>as pendientes</w:t>
      </w:r>
      <w:r w:rsidR="00DB14D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1D3186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alcanzaron </w:t>
      </w:r>
      <w:r w:rsidR="00023929" w:rsidRPr="00D64D74">
        <w:rPr>
          <w:rFonts w:ascii="Verdana" w:eastAsia="Verdana" w:hAnsi="Verdana" w:cs="Verdana"/>
          <w:sz w:val="32"/>
          <w:szCs w:val="32"/>
          <w:lang w:val="es-CL"/>
        </w:rPr>
        <w:t>las 77</w:t>
      </w:r>
      <w:r w:rsidR="00777F1E">
        <w:rPr>
          <w:rFonts w:ascii="Verdana" w:eastAsia="Verdana" w:hAnsi="Verdana" w:cs="Verdana"/>
          <w:sz w:val="32"/>
          <w:szCs w:val="32"/>
          <w:lang w:val="es-CL"/>
        </w:rPr>
        <w:t xml:space="preserve"> mil </w:t>
      </w:r>
      <w:r w:rsidR="0002392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800, lo que </w:t>
      </w:r>
      <w:r w:rsidR="00BD4208" w:rsidRPr="00D64D74">
        <w:rPr>
          <w:rFonts w:ascii="Verdana" w:eastAsia="Verdana" w:hAnsi="Verdana" w:cs="Verdana"/>
          <w:sz w:val="32"/>
          <w:szCs w:val="32"/>
          <w:lang w:val="es-CL"/>
        </w:rPr>
        <w:t>representa</w:t>
      </w:r>
      <w:r w:rsidR="0002392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un 70% menos que el 2019</w:t>
      </w:r>
      <w:r w:rsidR="00DB14D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Ambos fenómenos se explican </w:t>
      </w:r>
      <w:r w:rsidR="00BD420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por la resolución de los </w:t>
      </w:r>
      <w:r w:rsidR="00720D52" w:rsidRPr="00D64D74">
        <w:rPr>
          <w:rFonts w:ascii="Verdana" w:eastAsia="Verdana" w:hAnsi="Verdana" w:cs="Verdana"/>
          <w:sz w:val="32"/>
          <w:szCs w:val="32"/>
          <w:lang w:val="es-CL"/>
        </w:rPr>
        <w:t>recursos</w:t>
      </w:r>
      <w:r w:rsidR="00BD420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protección por Isapres </w:t>
      </w:r>
      <w:r w:rsidR="00720D52" w:rsidRPr="00D64D74">
        <w:rPr>
          <w:rFonts w:ascii="Verdana" w:eastAsia="Verdana" w:hAnsi="Verdana" w:cs="Verdana"/>
          <w:sz w:val="32"/>
          <w:szCs w:val="32"/>
          <w:lang w:val="es-CL"/>
        </w:rPr>
        <w:t>que ingresaron concentradamente</w:t>
      </w:r>
      <w:r w:rsidR="00BD420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los últimos meses del 2019</w:t>
      </w:r>
      <w:r w:rsidR="00F91B33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F91B33" w:rsidRPr="00D64D74" w:rsidRDefault="00F91B33" w:rsidP="006132CA">
      <w:pPr>
        <w:tabs>
          <w:tab w:val="left" w:pos="2128"/>
        </w:tabs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0B7B1F" w:rsidRPr="00255D06" w:rsidRDefault="00777F1E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>Por último,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1A3134" w:rsidRPr="00D64D74">
        <w:rPr>
          <w:rFonts w:ascii="Verdana" w:eastAsia="Verdana" w:hAnsi="Verdana" w:cs="Verdana"/>
          <w:sz w:val="32"/>
          <w:szCs w:val="32"/>
          <w:lang w:val="es-CL"/>
        </w:rPr>
        <w:t>a diferencia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lo que ocurrió</w:t>
      </w:r>
      <w:r w:rsidR="001A31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con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tribunales de instancia, este año l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os ingresos en la </w:t>
      </w:r>
      <w:r w:rsidR="00C900A7" w:rsidRPr="00CC5853">
        <w:rPr>
          <w:rFonts w:ascii="Verdana" w:eastAsia="Verdana" w:hAnsi="Verdana" w:cs="Verdana"/>
          <w:b/>
          <w:sz w:val="32"/>
          <w:szCs w:val="32"/>
          <w:lang w:val="es-CL"/>
        </w:rPr>
        <w:t>Corte Suprema</w:t>
      </w:r>
      <w:r w:rsidR="00C900A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aumentaron radicalmente, en más de un </w:t>
      </w:r>
      <w:r w:rsidR="001A3134" w:rsidRPr="00D64D74">
        <w:rPr>
          <w:rFonts w:ascii="Verdana" w:eastAsia="Verdana" w:hAnsi="Verdana" w:cs="Verdana"/>
          <w:sz w:val="32"/>
          <w:szCs w:val="32"/>
          <w:lang w:val="es-CL"/>
        </w:rPr>
        <w:t>270</w:t>
      </w:r>
      <w:r w:rsidR="00CA58A3">
        <w:rPr>
          <w:rFonts w:ascii="Verdana" w:eastAsia="Verdana" w:hAnsi="Verdana" w:cs="Verdana"/>
          <w:sz w:val="32"/>
          <w:szCs w:val="32"/>
          <w:lang w:val="es-CL"/>
        </w:rPr>
        <w:t>%</w:t>
      </w:r>
      <w:r>
        <w:rPr>
          <w:rFonts w:ascii="Verdana" w:eastAsia="Verdana" w:hAnsi="Verdana" w:cs="Verdana"/>
          <w:sz w:val="32"/>
          <w:szCs w:val="32"/>
          <w:lang w:val="es-CL"/>
        </w:rPr>
        <w:t>, con más de 154 mil causas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Este </w:t>
      </w:r>
      <w:r>
        <w:rPr>
          <w:rFonts w:ascii="Verdana" w:eastAsia="Verdana" w:hAnsi="Verdana" w:cs="Verdana"/>
          <w:sz w:val="32"/>
          <w:szCs w:val="32"/>
          <w:lang w:val="es-CL"/>
        </w:rPr>
        <w:t>incremento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parece 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>explica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>rse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principalmente 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>por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las apelaciones a los recursos de protección, que pasaron de 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poco más </w:t>
      </w:r>
      <w:r>
        <w:rPr>
          <w:rFonts w:ascii="Verdana" w:eastAsia="Verdana" w:hAnsi="Verdana" w:cs="Verdana"/>
          <w:sz w:val="32"/>
          <w:szCs w:val="32"/>
          <w:lang w:val="es-CL"/>
        </w:rPr>
        <w:t xml:space="preserve">de 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>29 mil ingresos el año 2019</w:t>
      </w:r>
      <w:r w:rsidR="000B7B1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más de 143 </w:t>
      </w:r>
      <w:r w:rsidR="00F91B33" w:rsidRPr="00D64D74">
        <w:rPr>
          <w:rFonts w:ascii="Verdana" w:eastAsia="Verdana" w:hAnsi="Verdana" w:cs="Verdana"/>
          <w:sz w:val="32"/>
          <w:szCs w:val="32"/>
          <w:lang w:val="es-CL"/>
        </w:rPr>
        <w:t xml:space="preserve">mil 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>durante el 2020</w:t>
      </w:r>
      <w:r w:rsidR="00F91B33" w:rsidRPr="00D64D74">
        <w:rPr>
          <w:rFonts w:ascii="Verdana" w:eastAsia="Verdana" w:hAnsi="Verdana" w:cs="Verdana"/>
          <w:sz w:val="32"/>
          <w:szCs w:val="32"/>
          <w:lang w:val="es-CL"/>
        </w:rPr>
        <w:t>, de las cuales 138 mil corresponden a Isapres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 xml:space="preserve">. Por otra parte, resulta llamativo 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aumento en casi mil ingresos 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>de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 xml:space="preserve">las 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acciones de amparo, lo que constituye un </w:t>
      </w:r>
      <w:r w:rsidR="00D76A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incremento 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>de un 34</w:t>
      </w:r>
      <w:r w:rsidR="00A63CAD">
        <w:rPr>
          <w:rFonts w:ascii="Verdana" w:eastAsia="Verdana" w:hAnsi="Verdana" w:cs="Verdana"/>
          <w:sz w:val="32"/>
          <w:szCs w:val="32"/>
          <w:lang w:val="es-CL"/>
        </w:rPr>
        <w:t>,2</w:t>
      </w:r>
      <w:r w:rsidR="00F8064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% en relación a la anualidad 2019. </w:t>
      </w:r>
    </w:p>
    <w:p w:rsidR="001A2D6A" w:rsidRPr="00D64D74" w:rsidRDefault="001A2D6A" w:rsidP="006132CA">
      <w:pPr>
        <w:pStyle w:val="Sinespaciado"/>
        <w:spacing w:line="360" w:lineRule="auto"/>
        <w:rPr>
          <w:rFonts w:ascii="Verdana" w:hAnsi="Verdana"/>
          <w:sz w:val="32"/>
          <w:szCs w:val="32"/>
          <w:highlight w:val="yellow"/>
          <w:lang w:val="es-CL"/>
        </w:rPr>
      </w:pPr>
    </w:p>
    <w:p w:rsidR="00F0233C" w:rsidRPr="00D64D74" w:rsidRDefault="001A2D6A" w:rsidP="006132CA">
      <w:pPr>
        <w:pStyle w:val="Sinespaciado"/>
        <w:spacing w:line="360" w:lineRule="auto"/>
        <w:ind w:firstLine="700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 xml:space="preserve">Por su parte, las causas terminadas en la Corte Suprema alcanzaron las </w:t>
      </w:r>
      <w:r w:rsidR="00F91B33" w:rsidRPr="00D64D74">
        <w:rPr>
          <w:rFonts w:ascii="Verdana" w:hAnsi="Verdana"/>
          <w:sz w:val="32"/>
          <w:szCs w:val="32"/>
          <w:lang w:val="es-CL"/>
        </w:rPr>
        <w:t>150 mil</w:t>
      </w:r>
      <w:r w:rsidR="00DB14DB" w:rsidRPr="00D64D74">
        <w:rPr>
          <w:rFonts w:ascii="Verdana" w:hAnsi="Verdana"/>
          <w:sz w:val="32"/>
          <w:szCs w:val="32"/>
          <w:lang w:val="es-CL"/>
        </w:rPr>
        <w:t xml:space="preserve">, </w:t>
      </w:r>
      <w:r w:rsidR="00A63CAD">
        <w:rPr>
          <w:rFonts w:ascii="Verdana" w:hAnsi="Verdana"/>
          <w:sz w:val="32"/>
          <w:szCs w:val="32"/>
          <w:lang w:val="es-CL"/>
        </w:rPr>
        <w:t>lo que representa</w:t>
      </w:r>
      <w:r w:rsidR="009B489F" w:rsidRPr="00D64D74">
        <w:rPr>
          <w:rFonts w:ascii="Verdana" w:hAnsi="Verdana"/>
          <w:sz w:val="32"/>
          <w:szCs w:val="32"/>
          <w:lang w:val="es-CL"/>
        </w:rPr>
        <w:t xml:space="preserve"> un </w:t>
      </w:r>
      <w:r w:rsidRPr="00D64D74">
        <w:rPr>
          <w:rFonts w:ascii="Verdana" w:hAnsi="Verdana"/>
          <w:sz w:val="32"/>
          <w:szCs w:val="32"/>
          <w:lang w:val="es-CL"/>
        </w:rPr>
        <w:t xml:space="preserve">incremento </w:t>
      </w:r>
      <w:r w:rsidR="009B489F" w:rsidRPr="00D64D74">
        <w:rPr>
          <w:rFonts w:ascii="Verdana" w:hAnsi="Verdana"/>
          <w:sz w:val="32"/>
          <w:szCs w:val="32"/>
          <w:lang w:val="es-CL"/>
        </w:rPr>
        <w:t xml:space="preserve">del </w:t>
      </w:r>
      <w:r w:rsidRPr="00D64D74">
        <w:rPr>
          <w:rFonts w:ascii="Verdana" w:hAnsi="Verdana"/>
          <w:sz w:val="32"/>
          <w:szCs w:val="32"/>
          <w:lang w:val="es-CL"/>
        </w:rPr>
        <w:t>308</w:t>
      </w:r>
      <w:r w:rsidR="00A63CAD">
        <w:rPr>
          <w:rFonts w:ascii="Verdana" w:hAnsi="Verdana"/>
          <w:sz w:val="32"/>
          <w:szCs w:val="32"/>
          <w:lang w:val="es-CL"/>
        </w:rPr>
        <w:t>,6</w:t>
      </w:r>
      <w:r w:rsidRPr="00D64D74">
        <w:rPr>
          <w:rFonts w:ascii="Verdana" w:hAnsi="Verdana"/>
          <w:sz w:val="32"/>
          <w:szCs w:val="32"/>
          <w:lang w:val="es-CL"/>
        </w:rPr>
        <w:t>%</w:t>
      </w:r>
      <w:r w:rsidR="009B489F" w:rsidRPr="00D64D74">
        <w:rPr>
          <w:rFonts w:ascii="Verdana" w:hAnsi="Verdana"/>
          <w:sz w:val="32"/>
          <w:szCs w:val="32"/>
          <w:lang w:val="es-CL"/>
        </w:rPr>
        <w:t xml:space="preserve"> respecto al año anterior</w:t>
      </w:r>
      <w:r w:rsidRPr="00D64D74">
        <w:rPr>
          <w:rFonts w:ascii="Verdana" w:hAnsi="Verdana"/>
          <w:sz w:val="32"/>
          <w:szCs w:val="32"/>
          <w:lang w:val="es-CL"/>
        </w:rPr>
        <w:t>.</w:t>
      </w:r>
      <w:r w:rsidR="00F91B33" w:rsidRPr="00D64D74">
        <w:rPr>
          <w:rFonts w:ascii="Verdana" w:hAnsi="Verdana"/>
          <w:sz w:val="32"/>
          <w:szCs w:val="32"/>
          <w:lang w:val="es-CL"/>
        </w:rPr>
        <w:t xml:space="preserve"> </w:t>
      </w:r>
      <w:r w:rsidR="00DB14DB" w:rsidRPr="00D64D74">
        <w:rPr>
          <w:rFonts w:ascii="Verdana" w:hAnsi="Verdana"/>
          <w:sz w:val="32"/>
          <w:szCs w:val="32"/>
          <w:lang w:val="es-CL"/>
        </w:rPr>
        <w:t xml:space="preserve">Este aumento se explica por </w:t>
      </w:r>
      <w:r w:rsidR="00CC5853">
        <w:rPr>
          <w:rFonts w:ascii="Verdana" w:hAnsi="Verdana"/>
          <w:sz w:val="32"/>
          <w:szCs w:val="32"/>
          <w:lang w:val="es-CL"/>
        </w:rPr>
        <w:t xml:space="preserve">las apelaciones a </w:t>
      </w:r>
      <w:r w:rsidR="00DB14DB" w:rsidRPr="00D64D74">
        <w:rPr>
          <w:rFonts w:ascii="Verdana" w:hAnsi="Verdana"/>
          <w:sz w:val="32"/>
          <w:szCs w:val="32"/>
          <w:lang w:val="es-CL"/>
        </w:rPr>
        <w:t>los recursos de protección de Isapres, que ascen</w:t>
      </w:r>
      <w:r w:rsidR="00A63CAD">
        <w:rPr>
          <w:rFonts w:ascii="Verdana" w:hAnsi="Verdana"/>
          <w:sz w:val="32"/>
          <w:szCs w:val="32"/>
          <w:lang w:val="es-CL"/>
        </w:rPr>
        <w:t xml:space="preserve">dieron a más de 134 mil causas. </w:t>
      </w:r>
      <w:r w:rsidR="00DB14DB" w:rsidRPr="00D64D74">
        <w:rPr>
          <w:rFonts w:ascii="Verdana" w:hAnsi="Verdana"/>
          <w:sz w:val="32"/>
          <w:szCs w:val="32"/>
          <w:lang w:val="es-CL"/>
        </w:rPr>
        <w:t xml:space="preserve">Si se descuentan </w:t>
      </w:r>
      <w:r w:rsidR="00CC5853">
        <w:rPr>
          <w:rFonts w:ascii="Verdana" w:hAnsi="Verdana"/>
          <w:sz w:val="32"/>
          <w:szCs w:val="32"/>
          <w:lang w:val="es-CL"/>
        </w:rPr>
        <w:t>estas últimas</w:t>
      </w:r>
      <w:r w:rsidR="00DB14DB" w:rsidRPr="00D64D74">
        <w:rPr>
          <w:rFonts w:ascii="Verdana" w:hAnsi="Verdana"/>
          <w:sz w:val="32"/>
          <w:szCs w:val="32"/>
          <w:lang w:val="es-CL"/>
        </w:rPr>
        <w:t>, el aumento de los casos terminados en la Corte Suprema llega al 13</w:t>
      </w:r>
      <w:r w:rsidR="00A63CAD">
        <w:rPr>
          <w:rFonts w:ascii="Verdana" w:hAnsi="Verdana"/>
          <w:sz w:val="32"/>
          <w:szCs w:val="32"/>
          <w:lang w:val="es-CL"/>
        </w:rPr>
        <w:t>,2</w:t>
      </w:r>
      <w:r w:rsidR="00DB14DB" w:rsidRPr="00D64D74">
        <w:rPr>
          <w:rFonts w:ascii="Verdana" w:hAnsi="Verdana"/>
          <w:sz w:val="32"/>
          <w:szCs w:val="32"/>
          <w:lang w:val="es-CL"/>
        </w:rPr>
        <w:t>%</w:t>
      </w:r>
      <w:r w:rsidR="002642DB" w:rsidRPr="00D64D74">
        <w:rPr>
          <w:rFonts w:ascii="Verdana" w:hAnsi="Verdana"/>
          <w:sz w:val="32"/>
          <w:szCs w:val="32"/>
          <w:lang w:val="es-CL"/>
        </w:rPr>
        <w:t>.</w:t>
      </w:r>
    </w:p>
    <w:p w:rsidR="002642DB" w:rsidRPr="00D64D74" w:rsidRDefault="002642DB" w:rsidP="006132CA">
      <w:pPr>
        <w:pStyle w:val="Sinespaciado"/>
        <w:spacing w:line="360" w:lineRule="auto"/>
        <w:ind w:firstLine="700"/>
        <w:jc w:val="both"/>
        <w:rPr>
          <w:rFonts w:ascii="Verdana" w:hAnsi="Verdana"/>
          <w:sz w:val="32"/>
          <w:szCs w:val="32"/>
          <w:lang w:val="es-CL"/>
        </w:rPr>
      </w:pPr>
    </w:p>
    <w:p w:rsidR="001A2D6A" w:rsidRPr="00D64D74" w:rsidRDefault="002642DB" w:rsidP="006132CA">
      <w:pPr>
        <w:pStyle w:val="Sinespaciado"/>
        <w:spacing w:line="360" w:lineRule="auto"/>
        <w:ind w:firstLine="700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 xml:space="preserve">Finalmente, las causas pendientes en la Corte Suprema </w:t>
      </w:r>
      <w:r w:rsidR="00A63CAD">
        <w:rPr>
          <w:rFonts w:ascii="Verdana" w:hAnsi="Verdana"/>
          <w:sz w:val="32"/>
          <w:szCs w:val="32"/>
          <w:lang w:val="es-CL"/>
        </w:rPr>
        <w:t>superaron las 15 mil 800</w:t>
      </w:r>
      <w:r w:rsidRPr="00D64D74">
        <w:rPr>
          <w:rFonts w:ascii="Verdana" w:hAnsi="Verdana"/>
          <w:sz w:val="32"/>
          <w:szCs w:val="32"/>
          <w:lang w:val="es-CL"/>
        </w:rPr>
        <w:t xml:space="preserve">, lo que representa un </w:t>
      </w:r>
      <w:r w:rsidR="001A2D6A" w:rsidRPr="00D64D74">
        <w:rPr>
          <w:rFonts w:ascii="Verdana" w:hAnsi="Verdana"/>
          <w:sz w:val="32"/>
          <w:szCs w:val="32"/>
          <w:lang w:val="es-CL"/>
        </w:rPr>
        <w:t xml:space="preserve">incremento </w:t>
      </w:r>
      <w:r w:rsidRPr="00D64D74">
        <w:rPr>
          <w:rFonts w:ascii="Verdana" w:hAnsi="Verdana"/>
          <w:sz w:val="32"/>
          <w:szCs w:val="32"/>
          <w:lang w:val="es-CL"/>
        </w:rPr>
        <w:t xml:space="preserve">del </w:t>
      </w:r>
      <w:r w:rsidR="001A2D6A" w:rsidRPr="00D64D74">
        <w:rPr>
          <w:rFonts w:ascii="Verdana" w:hAnsi="Verdana"/>
          <w:sz w:val="32"/>
          <w:szCs w:val="32"/>
          <w:lang w:val="es-CL"/>
        </w:rPr>
        <w:t>3</w:t>
      </w:r>
      <w:r w:rsidR="00200B69">
        <w:rPr>
          <w:rFonts w:ascii="Verdana" w:hAnsi="Verdana"/>
          <w:sz w:val="32"/>
          <w:szCs w:val="32"/>
          <w:lang w:val="es-CL"/>
        </w:rPr>
        <w:t>1,9</w:t>
      </w:r>
      <w:r w:rsidR="001A2D6A" w:rsidRPr="00D64D74">
        <w:rPr>
          <w:rFonts w:ascii="Verdana" w:hAnsi="Verdana"/>
          <w:sz w:val="32"/>
          <w:szCs w:val="32"/>
          <w:lang w:val="es-CL"/>
        </w:rPr>
        <w:t>%</w:t>
      </w:r>
      <w:r w:rsidR="00D441B3" w:rsidRPr="00D64D74">
        <w:rPr>
          <w:rFonts w:ascii="Verdana" w:hAnsi="Verdana"/>
          <w:sz w:val="32"/>
          <w:szCs w:val="32"/>
          <w:lang w:val="es-CL"/>
        </w:rPr>
        <w:t>.</w:t>
      </w:r>
      <w:r w:rsidR="00DB14DB" w:rsidRPr="00D64D74">
        <w:rPr>
          <w:rFonts w:ascii="Verdana" w:hAnsi="Verdana"/>
          <w:sz w:val="32"/>
          <w:szCs w:val="32"/>
          <w:lang w:val="es-CL"/>
        </w:rPr>
        <w:t xml:space="preserve"> Nuevamente este fenómeno se explica por </w:t>
      </w:r>
      <w:r w:rsidR="00200B69">
        <w:rPr>
          <w:rFonts w:ascii="Verdana" w:hAnsi="Verdana"/>
          <w:sz w:val="32"/>
          <w:szCs w:val="32"/>
          <w:lang w:val="es-CL"/>
        </w:rPr>
        <w:t xml:space="preserve">las apelaciones de </w:t>
      </w:r>
      <w:r w:rsidR="00DB14DB" w:rsidRPr="00D64D74">
        <w:rPr>
          <w:rFonts w:ascii="Verdana" w:hAnsi="Verdana"/>
          <w:sz w:val="32"/>
          <w:szCs w:val="32"/>
          <w:lang w:val="es-CL"/>
        </w:rPr>
        <w:t xml:space="preserve">los recursos de protección de Isapres, pues si no se consideran estas últimas, </w:t>
      </w:r>
      <w:r w:rsidR="00191E95" w:rsidRPr="00D64D74">
        <w:rPr>
          <w:rFonts w:ascii="Verdana" w:hAnsi="Verdana"/>
          <w:sz w:val="32"/>
          <w:szCs w:val="32"/>
          <w:lang w:val="es-CL"/>
        </w:rPr>
        <w:t>el aumento de</w:t>
      </w:r>
      <w:r w:rsidR="00DB14DB" w:rsidRPr="00D64D74">
        <w:rPr>
          <w:rFonts w:ascii="Verdana" w:hAnsi="Verdana"/>
          <w:sz w:val="32"/>
          <w:szCs w:val="32"/>
          <w:lang w:val="es-CL"/>
        </w:rPr>
        <w:t xml:space="preserve"> causas pendientes </w:t>
      </w:r>
      <w:r w:rsidR="00191E95" w:rsidRPr="00D64D74">
        <w:rPr>
          <w:rFonts w:ascii="Verdana" w:hAnsi="Verdana"/>
          <w:sz w:val="32"/>
          <w:szCs w:val="32"/>
          <w:lang w:val="es-CL"/>
        </w:rPr>
        <w:t xml:space="preserve">sería de </w:t>
      </w:r>
      <w:r w:rsidR="00DB14DB" w:rsidRPr="00D64D74">
        <w:rPr>
          <w:rFonts w:ascii="Verdana" w:hAnsi="Verdana"/>
          <w:sz w:val="32"/>
          <w:szCs w:val="32"/>
          <w:lang w:val="es-CL"/>
        </w:rPr>
        <w:t>un 2%.</w:t>
      </w:r>
    </w:p>
    <w:p w:rsidR="001A2D6A" w:rsidRPr="00D64D74" w:rsidRDefault="001A2D6A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F80648" w:rsidRDefault="00F80648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Estos datos dan cuenta de una realidad que val</w:t>
      </w:r>
      <w:r w:rsidR="00505F33">
        <w:rPr>
          <w:rFonts w:ascii="Verdana" w:eastAsia="Verdana" w:hAnsi="Verdana" w:cs="Verdana"/>
          <w:sz w:val="32"/>
          <w:szCs w:val="32"/>
          <w:lang w:val="es-CL"/>
        </w:rPr>
        <w:t>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 pena profundizar</w:t>
      </w:r>
      <w:r w:rsidR="00200B69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D76A80" w:rsidRPr="00D64D74">
        <w:rPr>
          <w:rFonts w:ascii="Verdana" w:eastAsia="Verdana" w:hAnsi="Verdana" w:cs="Verdana"/>
          <w:sz w:val="32"/>
          <w:szCs w:val="32"/>
          <w:lang w:val="es-CL"/>
        </w:rPr>
        <w:t>considerando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efectos </w:t>
      </w:r>
      <w:r w:rsidR="00191E95" w:rsidRPr="00D64D74">
        <w:rPr>
          <w:rFonts w:ascii="Verdana" w:eastAsia="Verdana" w:hAnsi="Verdana" w:cs="Verdana"/>
          <w:sz w:val="32"/>
          <w:szCs w:val="32"/>
          <w:lang w:val="es-CL"/>
        </w:rPr>
        <w:t>de</w:t>
      </w:r>
      <w:r w:rsidR="00F6358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 pandemia y el contexto social </w:t>
      </w:r>
      <w:r w:rsidR="00200B69">
        <w:rPr>
          <w:rFonts w:ascii="Verdana" w:eastAsia="Verdana" w:hAnsi="Verdana" w:cs="Verdana"/>
          <w:sz w:val="32"/>
          <w:szCs w:val="32"/>
          <w:lang w:val="es-CL"/>
        </w:rPr>
        <w:t>como posibles motivos de</w:t>
      </w:r>
      <w:r w:rsidR="00F6358A" w:rsidRPr="00D64D74">
        <w:rPr>
          <w:rFonts w:ascii="Verdana" w:eastAsia="Verdana" w:hAnsi="Verdana" w:cs="Verdana"/>
          <w:sz w:val="32"/>
          <w:szCs w:val="32"/>
          <w:lang w:val="es-CL"/>
        </w:rPr>
        <w:t>l aumento de causas de amparo y de ca</w:t>
      </w:r>
      <w:r w:rsidR="00200B69">
        <w:rPr>
          <w:rFonts w:ascii="Verdana" w:eastAsia="Verdana" w:hAnsi="Verdana" w:cs="Verdana"/>
          <w:sz w:val="32"/>
          <w:szCs w:val="32"/>
          <w:lang w:val="es-CL"/>
        </w:rPr>
        <w:t xml:space="preserve">utela de derechos fundamentales. </w:t>
      </w:r>
      <w:r w:rsidR="00CC5853">
        <w:rPr>
          <w:rFonts w:ascii="Verdana" w:eastAsia="Verdana" w:hAnsi="Verdana" w:cs="Verdana"/>
          <w:sz w:val="32"/>
          <w:szCs w:val="32"/>
          <w:lang w:val="es-CL"/>
        </w:rPr>
        <w:t>También</w:t>
      </w:r>
      <w:r w:rsidR="00200B69">
        <w:rPr>
          <w:rFonts w:ascii="Verdana" w:eastAsia="Verdana" w:hAnsi="Verdana" w:cs="Verdana"/>
          <w:sz w:val="32"/>
          <w:szCs w:val="32"/>
          <w:lang w:val="es-CL"/>
        </w:rPr>
        <w:t xml:space="preserve"> estas cifras </w:t>
      </w:r>
      <w:r w:rsidR="00505F33">
        <w:rPr>
          <w:rFonts w:ascii="Verdana" w:eastAsia="Verdana" w:hAnsi="Verdana" w:cs="Verdana"/>
          <w:sz w:val="32"/>
          <w:szCs w:val="32"/>
          <w:lang w:val="es-CL"/>
        </w:rPr>
        <w:t>nos llevan a reiterar</w:t>
      </w:r>
      <w:r w:rsidR="00200B69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505F33">
        <w:rPr>
          <w:rFonts w:ascii="Verdana" w:eastAsia="Verdana" w:hAnsi="Verdana" w:cs="Verdana"/>
          <w:sz w:val="32"/>
          <w:szCs w:val="32"/>
          <w:lang w:val="es-CL"/>
        </w:rPr>
        <w:t xml:space="preserve">la atención en </w:t>
      </w:r>
      <w:r w:rsidR="00F6358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</w:t>
      </w:r>
      <w:r w:rsidR="00505F33">
        <w:rPr>
          <w:rFonts w:ascii="Verdana" w:eastAsia="Verdana" w:hAnsi="Verdana" w:cs="Verdana"/>
          <w:sz w:val="32"/>
          <w:szCs w:val="32"/>
          <w:lang w:val="es-CL"/>
        </w:rPr>
        <w:t>fenómeno</w:t>
      </w:r>
      <w:r w:rsidR="00F6358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la gran judicialización que promueve el marco legal aplicable a las I</w:t>
      </w:r>
      <w:r w:rsidR="00F0233C" w:rsidRPr="00D64D74">
        <w:rPr>
          <w:rFonts w:ascii="Verdana" w:eastAsia="Verdana" w:hAnsi="Verdana" w:cs="Verdana"/>
          <w:sz w:val="32"/>
          <w:szCs w:val="32"/>
          <w:lang w:val="es-CL"/>
        </w:rPr>
        <w:t>sapres</w:t>
      </w:r>
      <w:r w:rsidR="00F6358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CD5D0B" w:rsidRPr="007C3EA8" w:rsidRDefault="00CD5D0B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CD5D0B" w:rsidRPr="006132CA" w:rsidRDefault="00CD5D0B" w:rsidP="006132CA">
      <w:pPr>
        <w:pStyle w:val="Ttulo3"/>
        <w:numPr>
          <w:ilvl w:val="0"/>
          <w:numId w:val="16"/>
        </w:numPr>
        <w:spacing w:before="0" w:after="0" w:line="360" w:lineRule="auto"/>
        <w:rPr>
          <w:rFonts w:ascii="Verdana" w:hAnsi="Verdana"/>
          <w:sz w:val="32"/>
          <w:szCs w:val="32"/>
        </w:rPr>
      </w:pPr>
      <w:bookmarkStart w:id="5" w:name="_Toc65244161"/>
      <w:r w:rsidRPr="006132CA">
        <w:rPr>
          <w:rFonts w:ascii="Verdana" w:hAnsi="Verdana"/>
          <w:sz w:val="32"/>
          <w:szCs w:val="32"/>
        </w:rPr>
        <w:t>Fiscalías Militares y Cortes Marciales</w:t>
      </w:r>
      <w:bookmarkEnd w:id="5"/>
    </w:p>
    <w:p w:rsidR="00690AAE" w:rsidRPr="006132CA" w:rsidRDefault="00690AAE" w:rsidP="006132CA">
      <w:pPr>
        <w:spacing w:line="360" w:lineRule="auto"/>
        <w:rPr>
          <w:rFonts w:ascii="Verdana" w:hAnsi="Verdana"/>
          <w:sz w:val="32"/>
          <w:szCs w:val="32"/>
        </w:rPr>
      </w:pPr>
    </w:p>
    <w:p w:rsidR="00AA4E3B" w:rsidRPr="006132CA" w:rsidRDefault="00690AA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6132CA">
        <w:rPr>
          <w:rFonts w:ascii="Verdana" w:hAnsi="Verdana"/>
          <w:sz w:val="32"/>
          <w:szCs w:val="32"/>
          <w:lang w:val="es-CL"/>
        </w:rPr>
        <w:t xml:space="preserve">La </w:t>
      </w:r>
      <w:r w:rsidRPr="006132CA">
        <w:rPr>
          <w:rFonts w:ascii="Verdana" w:hAnsi="Verdana"/>
          <w:b/>
          <w:sz w:val="32"/>
          <w:szCs w:val="32"/>
          <w:lang w:val="es-CL"/>
        </w:rPr>
        <w:t>Corte Marcial</w:t>
      </w:r>
      <w:r w:rsidRPr="006132CA">
        <w:rPr>
          <w:rFonts w:ascii="Verdana" w:hAnsi="Verdana"/>
          <w:sz w:val="32"/>
          <w:szCs w:val="32"/>
          <w:lang w:val="es-CL"/>
        </w:rPr>
        <w:t xml:space="preserve"> informó que para el año 2020 </w:t>
      </w:r>
      <w:r w:rsidR="00AA4E3B" w:rsidRPr="006132CA">
        <w:rPr>
          <w:rFonts w:ascii="Verdana" w:hAnsi="Verdana"/>
          <w:sz w:val="32"/>
          <w:szCs w:val="32"/>
          <w:lang w:val="es-CL"/>
        </w:rPr>
        <w:t xml:space="preserve">ingresaron 504 causas, fueron vistas 433 y quedaron pendientes 133. Por su parte, los </w:t>
      </w:r>
      <w:r w:rsidR="00AA4E3B" w:rsidRPr="006132CA">
        <w:rPr>
          <w:rFonts w:ascii="Verdana" w:hAnsi="Verdana"/>
          <w:b/>
          <w:sz w:val="32"/>
          <w:szCs w:val="32"/>
          <w:lang w:val="es-CL"/>
        </w:rPr>
        <w:t xml:space="preserve">Juzgados Militares y </w:t>
      </w:r>
      <w:r w:rsidR="00AA4E3B" w:rsidRPr="006132CA">
        <w:rPr>
          <w:rFonts w:ascii="Verdana" w:hAnsi="Verdana"/>
          <w:sz w:val="32"/>
          <w:szCs w:val="32"/>
          <w:lang w:val="es-CL"/>
        </w:rPr>
        <w:t>las</w:t>
      </w:r>
      <w:r w:rsidR="00AA4E3B" w:rsidRPr="006132CA">
        <w:rPr>
          <w:rFonts w:ascii="Verdana" w:hAnsi="Verdana"/>
          <w:b/>
          <w:sz w:val="32"/>
          <w:szCs w:val="32"/>
          <w:lang w:val="es-CL"/>
        </w:rPr>
        <w:t xml:space="preserve"> Fiscalías Instructoras</w:t>
      </w:r>
      <w:r w:rsidR="00AA4E3B" w:rsidRPr="006132CA">
        <w:rPr>
          <w:rFonts w:ascii="Verdana" w:hAnsi="Verdana"/>
          <w:sz w:val="32"/>
          <w:szCs w:val="32"/>
          <w:lang w:val="es-CL"/>
        </w:rPr>
        <w:t xml:space="preserve"> tuvieron un total de 1.654 ingresos y 379 fallos, </w:t>
      </w:r>
      <w:r w:rsidR="00505F33" w:rsidRPr="006132CA">
        <w:rPr>
          <w:rFonts w:ascii="Verdana" w:hAnsi="Verdana"/>
          <w:sz w:val="32"/>
          <w:szCs w:val="32"/>
          <w:lang w:val="es-CL"/>
        </w:rPr>
        <w:t>quedando</w:t>
      </w:r>
      <w:r w:rsidR="00AA4E3B" w:rsidRPr="006132CA">
        <w:rPr>
          <w:rFonts w:ascii="Verdana" w:hAnsi="Verdana"/>
          <w:sz w:val="32"/>
          <w:szCs w:val="32"/>
          <w:lang w:val="es-CL"/>
        </w:rPr>
        <w:t xml:space="preserve"> pendientes 3.442 procesos.</w:t>
      </w:r>
    </w:p>
    <w:p w:rsidR="00AA4E3B" w:rsidRPr="006132CA" w:rsidRDefault="00AA4E3B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AA4E3B" w:rsidRPr="006132CA" w:rsidRDefault="00AA4E3B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6132CA">
        <w:rPr>
          <w:rFonts w:ascii="Verdana" w:hAnsi="Verdana"/>
          <w:sz w:val="32"/>
          <w:szCs w:val="32"/>
          <w:lang w:val="es-CL"/>
        </w:rPr>
        <w:t xml:space="preserve">En la </w:t>
      </w:r>
      <w:r w:rsidRPr="006132CA">
        <w:rPr>
          <w:rFonts w:ascii="Verdana" w:hAnsi="Verdana"/>
          <w:b/>
          <w:sz w:val="32"/>
          <w:szCs w:val="32"/>
          <w:lang w:val="es-CL"/>
        </w:rPr>
        <w:t>Corte Marcial de la Armada</w:t>
      </w:r>
      <w:r w:rsidRPr="006132CA">
        <w:rPr>
          <w:rFonts w:ascii="Verdana" w:hAnsi="Verdana"/>
          <w:sz w:val="32"/>
          <w:szCs w:val="32"/>
          <w:lang w:val="es-CL"/>
        </w:rPr>
        <w:t xml:space="preserve">, durante el año pasado ingresaron 80 causas, se fallaron 74 </w:t>
      </w:r>
      <w:r w:rsidR="007C3EA8" w:rsidRPr="006132CA">
        <w:rPr>
          <w:rFonts w:ascii="Verdana" w:hAnsi="Verdana"/>
          <w:sz w:val="32"/>
          <w:szCs w:val="32"/>
          <w:lang w:val="es-CL"/>
        </w:rPr>
        <w:t>y quedaron pendientes 9. En</w:t>
      </w:r>
      <w:r w:rsidRPr="006132CA">
        <w:rPr>
          <w:rFonts w:ascii="Verdana" w:hAnsi="Verdana"/>
          <w:sz w:val="32"/>
          <w:szCs w:val="32"/>
          <w:lang w:val="es-CL"/>
        </w:rPr>
        <w:t xml:space="preserve">  lo</w:t>
      </w:r>
      <w:r w:rsidR="007C3EA8" w:rsidRPr="006132CA">
        <w:rPr>
          <w:rFonts w:ascii="Verdana" w:hAnsi="Verdana"/>
          <w:sz w:val="32"/>
          <w:szCs w:val="32"/>
          <w:lang w:val="es-CL"/>
        </w:rPr>
        <w:t xml:space="preserve">s </w:t>
      </w:r>
      <w:r w:rsidR="007C3EA8" w:rsidRPr="006132CA">
        <w:rPr>
          <w:rFonts w:ascii="Verdana" w:hAnsi="Verdana"/>
          <w:b/>
          <w:sz w:val="32"/>
          <w:szCs w:val="32"/>
          <w:lang w:val="es-CL"/>
        </w:rPr>
        <w:t>juzgados y fiscalías navales</w:t>
      </w:r>
      <w:r w:rsidR="007C3EA8" w:rsidRPr="006132CA">
        <w:rPr>
          <w:rFonts w:ascii="Verdana" w:hAnsi="Verdana"/>
          <w:sz w:val="32"/>
          <w:szCs w:val="32"/>
          <w:lang w:val="es-CL"/>
        </w:rPr>
        <w:t xml:space="preserve"> ingresaron </w:t>
      </w:r>
      <w:r w:rsidRPr="006132CA">
        <w:rPr>
          <w:rFonts w:ascii="Verdana" w:hAnsi="Verdana"/>
          <w:sz w:val="32"/>
          <w:szCs w:val="32"/>
          <w:lang w:val="es-CL"/>
        </w:rPr>
        <w:t xml:space="preserve">117 causas, </w:t>
      </w:r>
      <w:r w:rsidR="007C3EA8" w:rsidRPr="006132CA">
        <w:rPr>
          <w:rFonts w:ascii="Verdana" w:hAnsi="Verdana"/>
          <w:sz w:val="32"/>
          <w:szCs w:val="32"/>
          <w:lang w:val="es-CL"/>
        </w:rPr>
        <w:t>se fallaron 2</w:t>
      </w:r>
      <w:r w:rsidR="00505F33" w:rsidRPr="006132CA">
        <w:rPr>
          <w:rFonts w:ascii="Verdana" w:hAnsi="Verdana"/>
          <w:sz w:val="32"/>
          <w:szCs w:val="32"/>
          <w:lang w:val="es-CL"/>
        </w:rPr>
        <w:t>5</w:t>
      </w:r>
      <w:r w:rsidR="007C3EA8" w:rsidRPr="006132CA">
        <w:rPr>
          <w:rFonts w:ascii="Verdana" w:hAnsi="Verdana"/>
          <w:sz w:val="32"/>
          <w:szCs w:val="32"/>
          <w:lang w:val="es-CL"/>
        </w:rPr>
        <w:t xml:space="preserve"> y quedaron pendientes </w:t>
      </w:r>
      <w:r w:rsidR="00505F33" w:rsidRPr="006132CA">
        <w:rPr>
          <w:rFonts w:ascii="Verdana" w:hAnsi="Verdana"/>
          <w:sz w:val="32"/>
          <w:szCs w:val="32"/>
          <w:lang w:val="es-CL"/>
        </w:rPr>
        <w:t>214</w:t>
      </w:r>
      <w:r w:rsidR="007C3EA8" w:rsidRPr="006132CA">
        <w:rPr>
          <w:rFonts w:ascii="Verdana" w:hAnsi="Verdana"/>
          <w:sz w:val="32"/>
          <w:szCs w:val="32"/>
          <w:lang w:val="es-CL"/>
        </w:rPr>
        <w:t>.</w:t>
      </w:r>
    </w:p>
    <w:p w:rsidR="00AA4E3B" w:rsidRPr="006132CA" w:rsidRDefault="00AA4E3B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CD5D0B" w:rsidRPr="006132CA" w:rsidRDefault="00CD5D0B" w:rsidP="006132CA">
      <w:pPr>
        <w:pStyle w:val="Ttulo3"/>
        <w:numPr>
          <w:ilvl w:val="0"/>
          <w:numId w:val="16"/>
        </w:numPr>
        <w:spacing w:before="0" w:after="0" w:line="360" w:lineRule="auto"/>
        <w:ind w:left="1418" w:hanging="567"/>
        <w:jc w:val="both"/>
        <w:rPr>
          <w:rFonts w:ascii="Verdana" w:hAnsi="Verdana"/>
          <w:sz w:val="32"/>
          <w:szCs w:val="32"/>
        </w:rPr>
      </w:pPr>
      <w:bookmarkStart w:id="6" w:name="_Toc65244162"/>
      <w:r w:rsidRPr="006132CA">
        <w:rPr>
          <w:rFonts w:ascii="Verdana" w:hAnsi="Verdana"/>
          <w:sz w:val="32"/>
          <w:szCs w:val="32"/>
        </w:rPr>
        <w:t>Tribunales especiales que no forman parte del Poder Judicial</w:t>
      </w:r>
      <w:bookmarkEnd w:id="6"/>
    </w:p>
    <w:p w:rsidR="00CD5D0B" w:rsidRPr="006132CA" w:rsidRDefault="00CD5D0B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CD5D0B" w:rsidRPr="006132CA" w:rsidRDefault="00CD5D0B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Al </w:t>
      </w:r>
      <w:r w:rsidRPr="006132CA">
        <w:rPr>
          <w:rFonts w:ascii="Verdana" w:eastAsia="Verdana" w:hAnsi="Verdana" w:cs="Verdana"/>
          <w:b/>
          <w:sz w:val="32"/>
          <w:szCs w:val="32"/>
          <w:lang w:val="es-CL"/>
        </w:rPr>
        <w:t>Tribunal de Defensa de la Libre Competencia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 ingresó durante el 2020 un total de 55 causas, lo que significó un crecimiento del 36,4% respecto del año 2019. Se terminaron 35 causas, encontrándose pendientes  57.</w:t>
      </w:r>
    </w:p>
    <w:p w:rsidR="007C3EA8" w:rsidRPr="006132CA" w:rsidRDefault="007C3EA8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76D5A" w:rsidRPr="006132CA" w:rsidRDefault="00CD5D0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En el </w:t>
      </w:r>
      <w:r w:rsidRPr="006132CA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Primer Tribunal Ambiental de Antofagasta</w:t>
      </w:r>
      <w:r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ingresaron el año pasado 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13 causas, terminaron 17 y </w:t>
      </w:r>
      <w:r w:rsidR="00505F33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quedaron 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pendientes </w:t>
      </w:r>
      <w:r w:rsidR="00505F33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>9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Por su parte, en el </w:t>
      </w:r>
      <w:r w:rsidR="00776D5A" w:rsidRPr="006132CA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Segundo Tribunal Ambiental de Santiago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ingresaron 5</w:t>
      </w:r>
      <w:r w:rsidR="00505F33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>3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causas, terminándose 2</w:t>
      </w:r>
      <w:r w:rsidR="00D12F57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>2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 se encuentran pendientes 72 asuntos.   En el caso del </w:t>
      </w:r>
      <w:r w:rsidR="00776D5A" w:rsidRPr="006132CA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Tercer Tribunal Ambiental de Valdivia</w:t>
      </w:r>
      <w:r w:rsidR="00776D5A" w:rsidRPr="006132CA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las cifras dan cuenta de 55 ingresos 32 términos y 35 causas pendientes. </w:t>
      </w:r>
    </w:p>
    <w:p w:rsidR="00776D5A" w:rsidRPr="006132CA" w:rsidRDefault="00776D5A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CD5D0B" w:rsidRPr="006132CA" w:rsidRDefault="00776D5A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Al </w:t>
      </w:r>
      <w:r w:rsidRPr="006132CA">
        <w:rPr>
          <w:rFonts w:ascii="Verdana" w:eastAsia="Verdana" w:hAnsi="Verdana" w:cs="Verdana"/>
          <w:b/>
          <w:sz w:val="32"/>
          <w:szCs w:val="32"/>
          <w:lang w:val="es-CL"/>
        </w:rPr>
        <w:t>Tribunal de Contratación Pública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 ingresaron a dicho tribunal un total de </w:t>
      </w:r>
      <w:r w:rsidR="00D12F57" w:rsidRPr="006132CA">
        <w:rPr>
          <w:rFonts w:ascii="Verdana" w:eastAsia="Verdana" w:hAnsi="Verdana" w:cs="Verdana"/>
          <w:sz w:val="32"/>
          <w:szCs w:val="32"/>
          <w:lang w:val="es-CL"/>
        </w:rPr>
        <w:t>369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 causas, mientras q</w:t>
      </w:r>
      <w:r w:rsidR="00D12F57" w:rsidRPr="006132CA">
        <w:rPr>
          <w:rFonts w:ascii="Verdana" w:eastAsia="Verdana" w:hAnsi="Verdana" w:cs="Verdana"/>
          <w:sz w:val="32"/>
          <w:szCs w:val="32"/>
          <w:lang w:val="es-CL"/>
        </w:rPr>
        <w:t xml:space="preserve">ue los términos alcanzaron los 229 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asuntos, manteniéndose pendientes </w:t>
      </w:r>
      <w:r w:rsidR="00D12F57" w:rsidRPr="006132CA">
        <w:rPr>
          <w:rFonts w:ascii="Verdana" w:eastAsia="Verdana" w:hAnsi="Verdana" w:cs="Verdana"/>
          <w:sz w:val="32"/>
          <w:szCs w:val="32"/>
          <w:lang w:val="es-CL"/>
        </w:rPr>
        <w:t>405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 procesos.</w:t>
      </w:r>
    </w:p>
    <w:p w:rsidR="00191E95" w:rsidRPr="006132CA" w:rsidRDefault="00191E95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76D5A" w:rsidRPr="006132CA" w:rsidRDefault="00776D5A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En el </w:t>
      </w:r>
      <w:r w:rsidRPr="006132CA">
        <w:rPr>
          <w:rFonts w:ascii="Verdana" w:eastAsia="Verdana" w:hAnsi="Verdana" w:cs="Verdana"/>
          <w:b/>
          <w:sz w:val="32"/>
          <w:szCs w:val="32"/>
          <w:lang w:val="es-CL"/>
        </w:rPr>
        <w:t>Tribunal de Propiedad Industrial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, durante el año 2020 ingresaron un total de 1.590 causas, </w:t>
      </w:r>
      <w:r w:rsidR="00D12F57" w:rsidRPr="006132CA">
        <w:rPr>
          <w:rFonts w:ascii="Verdana" w:eastAsia="Verdana" w:hAnsi="Verdana" w:cs="Verdana"/>
          <w:sz w:val="32"/>
          <w:szCs w:val="32"/>
          <w:lang w:val="es-CL"/>
        </w:rPr>
        <w:t>terminaron 1.645</w:t>
      </w:r>
      <w:r w:rsidRPr="006132CA">
        <w:rPr>
          <w:rFonts w:ascii="Verdana" w:eastAsia="Verdana" w:hAnsi="Verdana" w:cs="Verdana"/>
          <w:sz w:val="32"/>
          <w:szCs w:val="32"/>
          <w:lang w:val="es-CL"/>
        </w:rPr>
        <w:t xml:space="preserve"> y se mantienen 368 pendientes.</w:t>
      </w:r>
    </w:p>
    <w:p w:rsidR="00776D5A" w:rsidRPr="006132CA" w:rsidRDefault="00776D5A" w:rsidP="006132CA">
      <w:pPr>
        <w:pStyle w:val="Ttulo2"/>
        <w:numPr>
          <w:ilvl w:val="0"/>
          <w:numId w:val="0"/>
        </w:numPr>
        <w:spacing w:before="0" w:after="0" w:line="360" w:lineRule="auto"/>
        <w:ind w:left="360" w:hanging="360"/>
      </w:pPr>
    </w:p>
    <w:p w:rsidR="00776D5A" w:rsidRPr="00776D5A" w:rsidRDefault="00776D5A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6132CA">
        <w:rPr>
          <w:rFonts w:ascii="Verdana" w:hAnsi="Verdana"/>
          <w:sz w:val="32"/>
          <w:szCs w:val="32"/>
          <w:lang w:val="es-CL"/>
        </w:rPr>
        <w:t xml:space="preserve">Finalmente, los </w:t>
      </w:r>
      <w:r w:rsidRPr="006132CA">
        <w:rPr>
          <w:rFonts w:ascii="Verdana" w:hAnsi="Verdana"/>
          <w:b/>
          <w:sz w:val="32"/>
          <w:szCs w:val="32"/>
          <w:lang w:val="es-CL"/>
        </w:rPr>
        <w:t>Tribunales Tributarios Aduaneros</w:t>
      </w:r>
      <w:r w:rsidRPr="006132CA">
        <w:rPr>
          <w:rFonts w:ascii="Verdana" w:hAnsi="Verdana"/>
          <w:sz w:val="32"/>
          <w:szCs w:val="32"/>
          <w:lang w:val="es-CL"/>
        </w:rPr>
        <w:t xml:space="preserve"> tuvieron el año pasado 987 ingresos, terminando 915 causas y </w:t>
      </w:r>
      <w:r w:rsidR="00D12F57" w:rsidRPr="006132CA">
        <w:rPr>
          <w:rFonts w:ascii="Verdana" w:hAnsi="Verdana"/>
          <w:sz w:val="32"/>
          <w:szCs w:val="32"/>
          <w:lang w:val="es-CL"/>
        </w:rPr>
        <w:t>quedaron pendientes</w:t>
      </w:r>
      <w:r w:rsidRPr="006132CA">
        <w:rPr>
          <w:rFonts w:ascii="Verdana" w:hAnsi="Verdana"/>
          <w:sz w:val="32"/>
          <w:szCs w:val="32"/>
          <w:lang w:val="es-CL"/>
        </w:rPr>
        <w:t xml:space="preserve"> 2.310 causas en estado de tramitación.</w:t>
      </w:r>
    </w:p>
    <w:p w:rsidR="00776D5A" w:rsidRPr="00776D5A" w:rsidRDefault="00776D5A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C4050F" w:rsidRPr="00776D5A" w:rsidRDefault="00C4050F" w:rsidP="006132CA">
      <w:pPr>
        <w:pStyle w:val="Ttulo2"/>
        <w:spacing w:before="0" w:after="0" w:line="360" w:lineRule="auto"/>
      </w:pPr>
      <w:bookmarkStart w:id="7" w:name="_Toc65244163"/>
      <w:r w:rsidRPr="00776D5A">
        <w:t>Efectos en el público y los funcionarios</w:t>
      </w:r>
      <w:bookmarkEnd w:id="7"/>
    </w:p>
    <w:p w:rsidR="00F0233C" w:rsidRPr="00D64D74" w:rsidRDefault="00F0233C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Pr="00D64D74" w:rsidRDefault="00C4050F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Pero lo 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>particular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del año 2020 no sólo se manifestó en anomalías en </w:t>
      </w:r>
      <w:r w:rsidR="009D11D2" w:rsidRPr="00D64D74">
        <w:rPr>
          <w:rFonts w:ascii="Verdana" w:eastAsia="Verdana" w:hAnsi="Verdana" w:cs="Verdana"/>
          <w:sz w:val="32"/>
          <w:szCs w:val="32"/>
          <w:lang w:val="es-CL"/>
        </w:rPr>
        <w:t>las cifras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También </w:t>
      </w:r>
      <w:r w:rsidR="00D76A80" w:rsidRPr="00D64D74">
        <w:rPr>
          <w:rFonts w:ascii="Verdana" w:eastAsia="Verdana" w:hAnsi="Verdana" w:cs="Verdana"/>
          <w:sz w:val="32"/>
          <w:szCs w:val="32"/>
          <w:lang w:val="es-CL"/>
        </w:rPr>
        <w:t>impactó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modo directo en las vidas de </w:t>
      </w:r>
      <w:r w:rsidR="008D2034" w:rsidRPr="00D64D74">
        <w:rPr>
          <w:rFonts w:ascii="Verdana" w:eastAsia="Verdana" w:hAnsi="Verdana" w:cs="Verdana"/>
          <w:sz w:val="32"/>
          <w:szCs w:val="32"/>
          <w:lang w:val="es-CL"/>
        </w:rPr>
        <w:t>los ciudadanos de la R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epública y, por supuesto, en nuestros funcionarios. </w:t>
      </w:r>
    </w:p>
    <w:p w:rsidR="00BB694D" w:rsidRPr="00D64D74" w:rsidRDefault="00BB694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Pr="00D64D74" w:rsidRDefault="00422B80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la crisis sanitaria debemos sumar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una crisis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económica</w:t>
      </w:r>
      <w:r w:rsidR="00ED0EB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en otros ámbitos de la sociedad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: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el comercio, el turismo,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colegios</w:t>
      </w:r>
      <w:r w:rsidR="00055FB9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las universidades debieron cerrar su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s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puerta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s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presencialidad, y se impuso una nueva manera de relacionarnos. El teletrabajo ganó un espacio inaudito, las aplicaciones de videoconferencia se transformaron en mecanismos </w:t>
      </w:r>
      <w:r w:rsidR="009D11D2" w:rsidRPr="00D64D74">
        <w:rPr>
          <w:rFonts w:ascii="Verdana" w:eastAsia="Verdana" w:hAnsi="Verdana" w:cs="Verdana"/>
          <w:sz w:val="32"/>
          <w:szCs w:val="32"/>
          <w:lang w:val="es-CL"/>
        </w:rPr>
        <w:t>esenciales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el contacto físico se convirtió en algo excepcional.</w:t>
      </w:r>
    </w:p>
    <w:p w:rsidR="008D2034" w:rsidRPr="00D64D74" w:rsidRDefault="008D2034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CC1329" w:rsidRPr="00D64D74" w:rsidRDefault="00093AD9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Por supuesto, </w:t>
      </w:r>
      <w:r w:rsidR="00422B8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esta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nueva manera de 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 xml:space="preserve">vivir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impactó </w:t>
      </w:r>
      <w:r w:rsidR="009D11D2" w:rsidRPr="00D64D74">
        <w:rPr>
          <w:rFonts w:ascii="Verdana" w:eastAsia="Verdana" w:hAnsi="Verdana" w:cs="Verdana"/>
          <w:sz w:val="32"/>
          <w:szCs w:val="32"/>
          <w:lang w:val="es-CL"/>
        </w:rPr>
        <w:t>duramente a todos los trabajadores de nuestro país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 xml:space="preserve"> y</w:t>
      </w:r>
      <w:r w:rsidR="009D11D2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 xml:space="preserve"> por cierto, a</w:t>
      </w:r>
      <w:r w:rsidR="009D11D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integrantes de nuestra institución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Me constan los esfuerzos que éstos han tenido que realizar para desempeñar sus </w:t>
      </w:r>
      <w:r w:rsidR="00CC1329" w:rsidRPr="00D64D74">
        <w:rPr>
          <w:rFonts w:ascii="Verdana" w:eastAsia="Verdana" w:hAnsi="Verdana" w:cs="Verdana"/>
          <w:sz w:val="32"/>
          <w:szCs w:val="32"/>
          <w:lang w:val="es-CL"/>
        </w:rPr>
        <w:t>roles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este nuevo escenario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cómo han lidiado con las condiciones y preocupaciones q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 xml:space="preserve">ue provoca la pandemia,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compatibiliza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>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do el desempeño de sus trabajos, las labores domésticas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 xml:space="preserve"> y su vida familiar y social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EA01E5" w:rsidRPr="00D64D74" w:rsidRDefault="00EA01E5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157466" w:rsidRPr="00D64D74" w:rsidRDefault="00157466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También quiero 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 xml:space="preserve">reconocer la gran disposición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 los intervinientes en los procesos judiciales, los abogados y el público, que supieron adaptarse a estas nuevas circunstancias. </w:t>
      </w:r>
    </w:p>
    <w:p w:rsidR="00F0233C" w:rsidRPr="00D64D74" w:rsidRDefault="00F0233C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6A377B" w:rsidRPr="006A377B" w:rsidRDefault="00422B80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Sin embargo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a pesar de todos los esfuerzos, el virus </w:t>
      </w:r>
      <w:r w:rsidR="00F0233C" w:rsidRPr="00D64D74">
        <w:rPr>
          <w:rFonts w:ascii="Verdana" w:eastAsia="Verdana" w:hAnsi="Verdana" w:cs="Verdana"/>
          <w:sz w:val="32"/>
          <w:szCs w:val="32"/>
          <w:lang w:val="es-CL"/>
        </w:rPr>
        <w:t>contin</w:t>
      </w:r>
      <w:r w:rsidR="00255D06">
        <w:rPr>
          <w:rFonts w:ascii="Verdana" w:eastAsia="Verdana" w:hAnsi="Verdana" w:cs="Verdana"/>
          <w:sz w:val="32"/>
          <w:szCs w:val="32"/>
          <w:lang w:val="es-CL"/>
        </w:rPr>
        <w:t>ú</w:t>
      </w:r>
      <w:r w:rsidR="00F0233C" w:rsidRPr="00D64D74">
        <w:rPr>
          <w:rFonts w:ascii="Verdana" w:eastAsia="Verdana" w:hAnsi="Verdana" w:cs="Verdana"/>
          <w:sz w:val="32"/>
          <w:szCs w:val="32"/>
          <w:lang w:val="es-CL"/>
        </w:rPr>
        <w:t>a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siendo una amenaza y</w:t>
      </w:r>
      <w:r w:rsidR="00F0233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en consecuencia,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una importante fuente de restricciones para todos. </w:t>
      </w:r>
      <w:r w:rsidR="00415DC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esta altura conocemos </w:t>
      </w:r>
      <w:r w:rsidR="00415DC9" w:rsidRPr="006A377B">
        <w:rPr>
          <w:rFonts w:ascii="Verdana" w:eastAsia="Verdana" w:hAnsi="Verdana" w:cs="Verdana"/>
          <w:sz w:val="32"/>
          <w:szCs w:val="32"/>
          <w:lang w:val="es-CL"/>
        </w:rPr>
        <w:t>las cifras</w:t>
      </w:r>
      <w:r w:rsidR="008D2034" w:rsidRPr="006A377B">
        <w:rPr>
          <w:rFonts w:ascii="Verdana" w:eastAsia="Verdana" w:hAnsi="Verdana" w:cs="Verdana"/>
          <w:sz w:val="32"/>
          <w:szCs w:val="32"/>
          <w:lang w:val="es-CL"/>
        </w:rPr>
        <w:t xml:space="preserve">: </w:t>
      </w:r>
      <w:r w:rsidR="00093AD9" w:rsidRPr="006A377B">
        <w:rPr>
          <w:rFonts w:ascii="Verdana" w:eastAsia="Verdana" w:hAnsi="Verdana" w:cs="Verdana"/>
          <w:sz w:val="32"/>
          <w:szCs w:val="32"/>
          <w:lang w:val="es-CL"/>
        </w:rPr>
        <w:t>las muertes s</w:t>
      </w:r>
      <w:r w:rsidR="00255D06" w:rsidRPr="006A377B">
        <w:rPr>
          <w:rFonts w:ascii="Verdana" w:eastAsia="Verdana" w:hAnsi="Verdana" w:cs="Verdana"/>
          <w:sz w:val="32"/>
          <w:szCs w:val="32"/>
          <w:lang w:val="es-CL"/>
        </w:rPr>
        <w:t xml:space="preserve">uperan </w:t>
      </w:r>
      <w:r w:rsidR="00093AD9" w:rsidRPr="006A377B">
        <w:rPr>
          <w:rFonts w:ascii="Verdana" w:eastAsia="Verdana" w:hAnsi="Verdana" w:cs="Verdana"/>
          <w:sz w:val="32"/>
          <w:szCs w:val="32"/>
          <w:lang w:val="es-CL"/>
        </w:rPr>
        <w:t xml:space="preserve">las 20 mil personas, los contagios confirmados son más de </w:t>
      </w:r>
      <w:r w:rsidR="009D11D2" w:rsidRPr="006A377B">
        <w:rPr>
          <w:rFonts w:ascii="Verdana" w:eastAsia="Verdana" w:hAnsi="Verdana" w:cs="Verdana"/>
          <w:sz w:val="32"/>
          <w:szCs w:val="32"/>
          <w:lang w:val="es-CL"/>
        </w:rPr>
        <w:t>ochocient</w:t>
      </w:r>
      <w:r w:rsidR="00255D06" w:rsidRPr="006A377B">
        <w:rPr>
          <w:rFonts w:ascii="Verdana" w:eastAsia="Verdana" w:hAnsi="Verdana" w:cs="Verdana"/>
          <w:sz w:val="32"/>
          <w:szCs w:val="32"/>
          <w:lang w:val="es-CL"/>
        </w:rPr>
        <w:t>o</w:t>
      </w:r>
      <w:r w:rsidR="009D11D2" w:rsidRPr="006A377B">
        <w:rPr>
          <w:rFonts w:ascii="Verdana" w:eastAsia="Verdana" w:hAnsi="Verdana" w:cs="Verdana"/>
          <w:sz w:val="32"/>
          <w:szCs w:val="32"/>
          <w:lang w:val="es-CL"/>
        </w:rPr>
        <w:t>s mil</w:t>
      </w:r>
      <w:r w:rsidR="00093AD9" w:rsidRPr="006A377B">
        <w:rPr>
          <w:rFonts w:ascii="Verdana" w:eastAsia="Verdana" w:hAnsi="Verdana" w:cs="Verdana"/>
          <w:sz w:val="32"/>
          <w:szCs w:val="32"/>
          <w:lang w:val="es-CL"/>
        </w:rPr>
        <w:t xml:space="preserve"> y, </w:t>
      </w:r>
      <w:r w:rsidR="00415DC9" w:rsidRPr="006A377B">
        <w:rPr>
          <w:rFonts w:ascii="Verdana" w:eastAsia="Verdana" w:hAnsi="Verdana" w:cs="Verdana"/>
          <w:sz w:val="32"/>
          <w:szCs w:val="32"/>
          <w:lang w:val="es-CL"/>
        </w:rPr>
        <w:t>según el</w:t>
      </w:r>
      <w:r w:rsidR="00415DC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A377B">
        <w:rPr>
          <w:rFonts w:ascii="Verdana" w:eastAsia="Verdana" w:hAnsi="Verdana" w:cs="Verdana"/>
          <w:sz w:val="32"/>
          <w:szCs w:val="32"/>
          <w:lang w:val="es-CL"/>
        </w:rPr>
        <w:t xml:space="preserve">INE, </w:t>
      </w:r>
      <w:r w:rsidR="006A377B" w:rsidRPr="006A377B">
        <w:rPr>
          <w:rFonts w:ascii="Verdana" w:eastAsia="Verdana" w:hAnsi="Verdana" w:cs="Verdana"/>
          <w:sz w:val="32"/>
          <w:szCs w:val="32"/>
          <w:lang w:val="es-CL"/>
        </w:rPr>
        <w:t xml:space="preserve">durante el año 2020 </w:t>
      </w:r>
      <w:r w:rsidR="00CE3F81">
        <w:rPr>
          <w:rFonts w:ascii="Verdana" w:eastAsia="Verdana" w:hAnsi="Verdana" w:cs="Verdana"/>
          <w:sz w:val="32"/>
          <w:szCs w:val="32"/>
          <w:lang w:val="es-CL"/>
        </w:rPr>
        <w:t>la tasa de desempleo alcanzó un 10,7%</w:t>
      </w:r>
      <w:r w:rsidR="006A377B" w:rsidRPr="006A377B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FE56EB" w:rsidRDefault="00EE7AE5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Quiero detenerme aquí para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rendir un sentido </w:t>
      </w:r>
      <w:r w:rsidR="008D2034" w:rsidRPr="00D64D74">
        <w:rPr>
          <w:rFonts w:ascii="Verdana" w:eastAsia="Verdana" w:hAnsi="Verdana" w:cs="Verdana"/>
          <w:sz w:val="32"/>
          <w:szCs w:val="32"/>
          <w:lang w:val="es-CL"/>
        </w:rPr>
        <w:t>reconocimiento a quienes se</w:t>
      </w:r>
      <w:r w:rsidR="00BE527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han visto más afectados por la pandemia, encarnados con especial énfasis en quienes no lograron gan</w:t>
      </w:r>
      <w:r w:rsidR="000E063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ar la batalla frente al virus: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Juan Norambuena</w:t>
      </w:r>
      <w:r w:rsidR="008D2034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 xml:space="preserve"> Oficial Cuarto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la Secret</w:t>
      </w:r>
      <w:r w:rsidR="00BE527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aría de la Corte Suprema;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Héctor Osorio</w:t>
      </w:r>
      <w:r w:rsidR="008D2034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Ju</w:t>
      </w:r>
      <w:r w:rsidR="00CC1329"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z del Juzgado de</w:t>
      </w:r>
      <w:r w:rsidR="00BE527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Garantía de Talagante;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y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Christian 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>Ávila</w:t>
      </w:r>
      <w:r w:rsidR="00BE527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Alarcón, Administrativo del 13°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Juzgado Civi</w:t>
      </w:r>
      <w:r w:rsidR="000E0630" w:rsidRPr="00D64D74">
        <w:rPr>
          <w:rFonts w:ascii="Verdana" w:eastAsia="Verdana" w:hAnsi="Verdana" w:cs="Verdana"/>
          <w:sz w:val="32"/>
          <w:szCs w:val="32"/>
          <w:lang w:val="es-CL"/>
        </w:rPr>
        <w:t>l de Santiago.</w:t>
      </w:r>
    </w:p>
    <w:p w:rsidR="00792801" w:rsidRPr="00D64D74" w:rsidRDefault="000E0630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</w:p>
    <w:p w:rsidR="00CC1329" w:rsidRPr="00D64D74" w:rsidRDefault="00093AD9" w:rsidP="006132CA">
      <w:pPr>
        <w:pStyle w:val="Ttulo2"/>
        <w:spacing w:before="0" w:after="0" w:line="360" w:lineRule="auto"/>
        <w:jc w:val="both"/>
      </w:pPr>
      <w:bookmarkStart w:id="8" w:name="_Toc65244164"/>
      <w:r w:rsidRPr="00D64D74">
        <w:t>Estrategia</w:t>
      </w:r>
      <w:r w:rsidR="00147F46">
        <w:t>s</w:t>
      </w:r>
      <w:r w:rsidRPr="00D64D74">
        <w:t xml:space="preserve"> del PJUD ante el Coronavirus</w:t>
      </w:r>
      <w:r w:rsidR="00147F46">
        <w:t>: modernización y participación</w:t>
      </w:r>
      <w:bookmarkEnd w:id="8"/>
    </w:p>
    <w:p w:rsidR="00F0233C" w:rsidRPr="00D64D74" w:rsidRDefault="00F0233C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Pr="00D64D74" w:rsidRDefault="006C3429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Frente a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adverso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escenario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BE527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 Poder Judicial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reaccionó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con rapidez, adoptando un conjunto de medidas orientadas </w:t>
      </w:r>
      <w:r w:rsidR="00BE5278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continuar con su tarea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, conservando los estándares de calidad, acceso a la justicia y protección efectiva a los derechos fundamentales de todas las personas.</w:t>
      </w:r>
    </w:p>
    <w:p w:rsidR="00CC1329" w:rsidRPr="00255D06" w:rsidRDefault="00CC132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Pr="00D64D74" w:rsidRDefault="00093AD9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En este desafío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>,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92157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gestión de los riesgos existentes se cimentó en base a </w:t>
      </w:r>
      <w:r w:rsidR="0092157C" w:rsidRPr="000B3E51">
        <w:rPr>
          <w:rFonts w:ascii="Verdana" w:eastAsia="Verdana" w:hAnsi="Verdana" w:cs="Verdana"/>
          <w:b/>
          <w:sz w:val="32"/>
          <w:szCs w:val="32"/>
          <w:lang w:val="es-CL"/>
        </w:rPr>
        <w:t xml:space="preserve">dos valores </w:t>
      </w:r>
      <w:r w:rsidRPr="000B3E51">
        <w:rPr>
          <w:rFonts w:ascii="Verdana" w:eastAsia="Verdana" w:hAnsi="Verdana" w:cs="Verdana"/>
          <w:b/>
          <w:sz w:val="32"/>
          <w:szCs w:val="32"/>
          <w:lang w:val="es-CL"/>
        </w:rPr>
        <w:t>clave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: la </w:t>
      </w:r>
      <w:r w:rsidR="006C3429" w:rsidRPr="000B3E51">
        <w:rPr>
          <w:rFonts w:ascii="Verdana" w:eastAsia="Verdana" w:hAnsi="Verdana" w:cs="Verdana"/>
          <w:b/>
          <w:sz w:val="32"/>
          <w:szCs w:val="32"/>
          <w:lang w:val="es-CL"/>
        </w:rPr>
        <w:t>modernización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</w:t>
      </w:r>
      <w:r w:rsidR="00E7066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</w:t>
      </w:r>
      <w:r w:rsidRPr="000B3E51">
        <w:rPr>
          <w:rFonts w:ascii="Verdana" w:eastAsia="Verdana" w:hAnsi="Verdana" w:cs="Verdana"/>
          <w:b/>
          <w:sz w:val="32"/>
          <w:szCs w:val="32"/>
          <w:lang w:val="es-CL"/>
        </w:rPr>
        <w:t>participación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CC1329" w:rsidRPr="00D64D74" w:rsidRDefault="00CC132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147F46" w:rsidRDefault="0092157C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lo que refiere al primer asunto, es justo señalar que la </w:t>
      </w:r>
      <w:r w:rsidR="00093AD9" w:rsidRPr="000B3E51">
        <w:rPr>
          <w:rFonts w:ascii="Verdana" w:eastAsia="Verdana" w:hAnsi="Verdana" w:cs="Verdana"/>
          <w:b/>
          <w:sz w:val="32"/>
          <w:szCs w:val="32"/>
          <w:lang w:val="es-CL"/>
        </w:rPr>
        <w:t>modernización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del Poder Judicial 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 xml:space="preserve">no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fue una acción generada como reacción a la pandemia. Por el contrario, la crisis sanitaria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fue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la oportunidad para probar, de la manera más intensa que podíamos imaginar, el nivel de respuesta de un sistema de tramitación y gestión de causas asentado ya por varios años en nuestra institución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147F46" w:rsidRDefault="00147F46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CC1329" w:rsidRDefault="0092157C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Que pudiéramos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prescindir en alg</w:t>
      </w:r>
      <w:r w:rsidR="006C3429" w:rsidRPr="00D64D74">
        <w:rPr>
          <w:rFonts w:ascii="Verdana" w:eastAsia="Verdana" w:hAnsi="Verdana" w:cs="Verdana"/>
          <w:sz w:val="32"/>
          <w:szCs w:val="32"/>
          <w:lang w:val="es-CL"/>
        </w:rPr>
        <w:t>una medida de la presencialidad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fue fruto de la estrategia </w:t>
      </w:r>
      <w:r w:rsidR="006C3429" w:rsidRPr="00D64D74">
        <w:rPr>
          <w:rFonts w:ascii="Verdana" w:eastAsia="Verdana" w:hAnsi="Verdana" w:cs="Verdana"/>
          <w:sz w:val="32"/>
          <w:szCs w:val="32"/>
          <w:lang w:val="es-CL"/>
        </w:rPr>
        <w:t>del Poder Judicial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por años 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>h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puesto énfasis en la tramitación digital, en la atención de usuarios y en las innovaciones 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>tecnológicas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147F46" w:rsidRPr="00147F46" w:rsidRDefault="00147F46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92801" w:rsidRPr="00D64D74" w:rsidRDefault="0092157C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No puede dejar de enfatizarse que uno de los principales </w:t>
      </w:r>
      <w:r w:rsidR="006C3429" w:rsidRPr="00D64D74">
        <w:rPr>
          <w:rFonts w:ascii="Verdana" w:eastAsia="Verdana" w:hAnsi="Verdana" w:cs="Verdana"/>
          <w:sz w:val="32"/>
          <w:szCs w:val="32"/>
          <w:lang w:val="es-CL"/>
        </w:rPr>
        <w:t>hitos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este proceso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que tuvo ya manifestaciones claras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con las reformas a la justicia Penal y de Familia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6C342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se produjo en diciembre de 2015 con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 Ley de Tramitación Electrónica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>.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 xml:space="preserve">Esta última,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incorporó </w:t>
      </w:r>
      <w:r w:rsidR="00CC132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normativamente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la carpeta digital en todo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s los procedimientos d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el Poder Judicial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consolidó nuevas formas de notificación y 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creó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 Oficina Judicial Virtual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permitiendo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 los usuarios 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revisar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sus causas y realizar la mayor parte de las act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uaciones procesales a distancia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37542D" w:rsidRPr="00D64D74" w:rsidRDefault="0037542D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92801" w:rsidRPr="00D64D74" w:rsidRDefault="0092157C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Junto con esta arquitectura digital en la gestión de justicia</w:t>
      </w:r>
      <w:r w:rsidR="00147F46">
        <w:rPr>
          <w:rFonts w:ascii="Verdana" w:eastAsia="Verdana" w:hAnsi="Verdana" w:cs="Verdana"/>
          <w:sz w:val="32"/>
          <w:szCs w:val="32"/>
          <w:lang w:val="es-CL"/>
        </w:rPr>
        <w:t>,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única en Latinoamérica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, debe considerarse también que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mucho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antes de la declaración del estado de excepción constitucional 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Corte Suprema se encontraba desarrollando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 proyecto piloto de alegatos por videoconferencia 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para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algunas 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 sus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salas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>, había diseñado una política de Atención de Usuarios que tenía como una de sus principales apuestas la disponibilización de recursos y soluciones por medios digitales, y se encontraba trabajando en un reglamento sobre teletrabajo para sus funcionarios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CC1329" w:rsidRPr="00D64D74" w:rsidRDefault="00CC132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CC1329" w:rsidRPr="00D64D74" w:rsidRDefault="00093AD9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Pues bien, con est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diseño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tramitación a distancia, cread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probad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junto a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estos proyectos </w:t>
      </w:r>
      <w:r w:rsidR="006543BA" w:rsidRPr="00D64D74">
        <w:rPr>
          <w:rFonts w:ascii="Verdana" w:eastAsia="Verdana" w:hAnsi="Verdana" w:cs="Verdana"/>
          <w:sz w:val="32"/>
          <w:szCs w:val="32"/>
          <w:lang w:val="es-CL"/>
        </w:rPr>
        <w:t>en ejecución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no 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tuvimos necesidad de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improvisar. No </w:t>
      </w:r>
      <w:r w:rsidR="009636B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se 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>paraliz</w:t>
      </w:r>
      <w:r w:rsidR="009636B9" w:rsidRPr="00D64D74">
        <w:rPr>
          <w:rFonts w:ascii="Verdana" w:eastAsia="Verdana" w:hAnsi="Verdana" w:cs="Verdana"/>
          <w:sz w:val="32"/>
          <w:szCs w:val="32"/>
          <w:lang w:val="es-CL"/>
        </w:rPr>
        <w:t>ó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el curso de la administración de justicia, sino 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que </w:t>
      </w:r>
      <w:r w:rsidR="009636B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se 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>ajust</w:t>
      </w:r>
      <w:r w:rsidR="009636B9" w:rsidRPr="00D64D74">
        <w:rPr>
          <w:rFonts w:ascii="Verdana" w:eastAsia="Verdana" w:hAnsi="Verdana" w:cs="Verdana"/>
          <w:sz w:val="32"/>
          <w:szCs w:val="32"/>
          <w:lang w:val="es-CL"/>
        </w:rPr>
        <w:t>ó</w:t>
      </w:r>
      <w:r w:rsidR="001400E0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su tránsito a una realidad apremiante. </w:t>
      </w:r>
    </w:p>
    <w:p w:rsidR="00CE2AB1" w:rsidRPr="00D64D74" w:rsidRDefault="00CE2AB1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CC1329" w:rsidRPr="00D64D74" w:rsidRDefault="00093AD9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Y en tal desafío, una de las acciones más relevantes fue la aprobación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marzo 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pasado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del acta N° 41-2020, 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>que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reguló la modalidad del denominado “Teletrabajo” y el uso de videoconferencia en el Poder Judicial, 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permitiendo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que prácticamente desde el comienzo de la pandemia, </w:t>
      </w:r>
      <w:r w:rsidR="00060343" w:rsidRPr="00D64D74">
        <w:rPr>
          <w:rFonts w:ascii="Verdana" w:eastAsia="Verdana" w:hAnsi="Verdana" w:cs="Verdana"/>
          <w:sz w:val="32"/>
          <w:szCs w:val="32"/>
          <w:lang w:val="es-CL"/>
        </w:rPr>
        <w:t>una proporción importante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los funcionarios judiciales pudieran cumplir con su labor e</w:t>
      </w:r>
      <w:r w:rsidR="00402419" w:rsidRPr="00D64D74">
        <w:rPr>
          <w:rFonts w:ascii="Verdana" w:eastAsia="Verdana" w:hAnsi="Verdana" w:cs="Verdana"/>
          <w:sz w:val="32"/>
          <w:szCs w:val="32"/>
          <w:lang w:val="es-CL"/>
        </w:rPr>
        <w:t>n forma remota y segura.</w:t>
      </w:r>
    </w:p>
    <w:p w:rsidR="00CE2AB1" w:rsidRPr="00D64D74" w:rsidRDefault="00093AD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 xml:space="preserve"> </w:t>
      </w:r>
    </w:p>
    <w:p w:rsidR="00792801" w:rsidRPr="00D64D74" w:rsidRDefault="00093AD9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Esta respuesta también fue encauzada a través de otros autos acordados de la Corte Suprema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>, entre lo</w:t>
      </w:r>
      <w:r w:rsidR="00060343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 que destaca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Acta N° 53-2020, de abril de 2020, que refundió los autos acordados sobre funcionamiento del Poder Judicial durante la </w:t>
      </w:r>
      <w:r w:rsidR="00744633" w:rsidRPr="00D64D74">
        <w:rPr>
          <w:rFonts w:ascii="Verdana" w:eastAsia="Verdana" w:hAnsi="Verdana" w:cs="Verdana"/>
          <w:sz w:val="32"/>
          <w:szCs w:val="32"/>
          <w:lang w:val="es-CL"/>
        </w:rPr>
        <w:t>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mergencia </w:t>
      </w:r>
      <w:r w:rsidR="00744633" w:rsidRPr="00D64D74">
        <w:rPr>
          <w:rFonts w:ascii="Verdana" w:eastAsia="Verdana" w:hAnsi="Verdana" w:cs="Verdana"/>
          <w:sz w:val="32"/>
          <w:szCs w:val="32"/>
          <w:lang w:val="es-CL"/>
        </w:rPr>
        <w:t>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anitaria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 y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en armonía con la </w:t>
      </w:r>
      <w:r w:rsidR="0090212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citada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ley N° 21.226</w:t>
      </w:r>
      <w:r w:rsidR="00157466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reforzó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la continuidad del servicio judicial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 especialmente en </w:t>
      </w:r>
      <w:r w:rsidR="008506D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conocimiento prioritario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 medidas cautelares urgentes por riesgo a la </w:t>
      </w:r>
      <w:r w:rsidR="008506D7" w:rsidRPr="00D64D74">
        <w:rPr>
          <w:rFonts w:ascii="Verdana" w:eastAsia="Verdana" w:hAnsi="Verdana" w:cs="Verdana"/>
          <w:sz w:val="32"/>
          <w:szCs w:val="32"/>
          <w:lang w:val="es-CL"/>
        </w:rPr>
        <w:t>vida o la salud de las personas,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el estatuto de las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acciones por violencia intrafamiliar </w:t>
      </w:r>
      <w:r w:rsidR="008506D7" w:rsidRPr="00D64D74">
        <w:rPr>
          <w:rFonts w:ascii="Verdana" w:eastAsia="Verdana" w:hAnsi="Verdana" w:cs="Verdana"/>
          <w:sz w:val="32"/>
          <w:szCs w:val="32"/>
          <w:lang w:val="es-CL"/>
        </w:rPr>
        <w:t>o por violencia de género,</w:t>
      </w:r>
      <w:r w:rsidR="00690010">
        <w:rPr>
          <w:rFonts w:ascii="Verdana" w:eastAsia="Verdana" w:hAnsi="Verdana" w:cs="Verdana"/>
          <w:sz w:val="32"/>
          <w:szCs w:val="32"/>
          <w:lang w:val="es-CL"/>
        </w:rPr>
        <w:t xml:space="preserve"> el conocimiento prioritario de </w:t>
      </w:r>
      <w:r w:rsidR="008506D7" w:rsidRPr="00D64D74">
        <w:rPr>
          <w:rFonts w:ascii="Verdana" w:eastAsia="Verdana" w:hAnsi="Verdana" w:cs="Verdana"/>
          <w:sz w:val="32"/>
          <w:szCs w:val="32"/>
          <w:lang w:val="es-CL"/>
        </w:rPr>
        <w:t>acciones de amparo y protección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las que puedan estar relacionadas con ca</w:t>
      </w:r>
      <w:r w:rsidR="00060343" w:rsidRPr="00D64D74">
        <w:rPr>
          <w:rFonts w:ascii="Verdana" w:eastAsia="Verdana" w:hAnsi="Verdana" w:cs="Verdana"/>
          <w:sz w:val="32"/>
          <w:szCs w:val="32"/>
          <w:lang w:val="es-CL"/>
        </w:rPr>
        <w:t>utela de derechos fundamentales</w:t>
      </w:r>
      <w:r w:rsidR="00614229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8506D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la atención y resguardo de los derechos de personas</w:t>
      </w:r>
      <w:r w:rsidR="00EA01E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situación de vulnerabilidad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CC1329" w:rsidRPr="00D64D74" w:rsidRDefault="00CC132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3F2D27" w:rsidRPr="00D64D74" w:rsidRDefault="00756BB8" w:rsidP="006132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No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podemos dejar de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reconocer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el enorme compromiso mostrado por todos los </w:t>
      </w:r>
      <w:r w:rsidR="00614229">
        <w:rPr>
          <w:rFonts w:ascii="Verdana" w:eastAsia="Verdana" w:hAnsi="Verdana" w:cs="Verdana"/>
          <w:sz w:val="32"/>
          <w:szCs w:val="32"/>
          <w:lang w:val="es-CL"/>
        </w:rPr>
        <w:t>jueces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>, funcionario</w:t>
      </w:r>
      <w:r w:rsidR="00CE2AB1" w:rsidRPr="00D64D74">
        <w:rPr>
          <w:rFonts w:ascii="Verdana" w:eastAsia="Verdana" w:hAnsi="Verdana" w:cs="Verdana"/>
          <w:sz w:val="32"/>
          <w:szCs w:val="32"/>
          <w:lang w:val="es-CL"/>
        </w:rPr>
        <w:t>s</w:t>
      </w:r>
      <w:r w:rsidR="00614229">
        <w:rPr>
          <w:rFonts w:ascii="Verdana" w:eastAsia="Verdana" w:hAnsi="Verdana" w:cs="Verdana"/>
          <w:sz w:val="32"/>
          <w:szCs w:val="32"/>
          <w:lang w:val="es-CL"/>
        </w:rPr>
        <w:t xml:space="preserve"> y empleados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del Poder Judicial,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así como por los directivos y funcionarios de la Corporación Administrativa del Poder Judicial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  <w:r w:rsidR="00614229">
        <w:rPr>
          <w:rFonts w:ascii="Verdana" w:eastAsia="Verdana" w:hAnsi="Verdana" w:cs="Verdana"/>
          <w:sz w:val="32"/>
          <w:szCs w:val="32"/>
          <w:lang w:val="es-CL"/>
        </w:rPr>
        <w:t xml:space="preserve"> Y como no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CE2AB1" w:rsidRPr="00D64D74">
        <w:rPr>
          <w:rFonts w:ascii="Verdana" w:eastAsia="Verdana" w:hAnsi="Verdana" w:cs="Verdana"/>
          <w:sz w:val="32"/>
          <w:szCs w:val="32"/>
          <w:lang w:val="es-CL"/>
        </w:rPr>
        <w:t>aprovechar esta oportunidad para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agradecer el valioso </w:t>
      </w:r>
      <w:r w:rsidR="00A367A1" w:rsidRPr="00D64D74">
        <w:rPr>
          <w:rFonts w:ascii="Verdana" w:eastAsia="Verdana" w:hAnsi="Verdana" w:cs="Verdana"/>
          <w:sz w:val="32"/>
          <w:szCs w:val="32"/>
          <w:lang w:val="es-CL"/>
        </w:rPr>
        <w:t>trabajo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CE2AB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desempeñado por 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</w:t>
      </w:r>
      <w:r w:rsidR="00A367A1" w:rsidRPr="00D64D74">
        <w:rPr>
          <w:rFonts w:ascii="Verdana" w:eastAsia="Verdana" w:hAnsi="Verdana" w:cs="Verdana"/>
          <w:sz w:val="32"/>
          <w:szCs w:val="32"/>
          <w:lang w:val="es-CL"/>
        </w:rPr>
        <w:t>Ministra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Gloria Ana Chevesich,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quien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como </w:t>
      </w:r>
      <w:r w:rsidR="00A367A1" w:rsidRPr="00D64D74">
        <w:rPr>
          <w:rFonts w:ascii="Verdana" w:eastAsia="Verdana" w:hAnsi="Verdana" w:cs="Verdana"/>
          <w:sz w:val="32"/>
          <w:szCs w:val="32"/>
          <w:lang w:val="es-CL"/>
        </w:rPr>
        <w:t>encargada de la coordinación para la emergencia sanitaria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A367A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ha logrado llevar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a cabo su misión con éxito</w:t>
      </w:r>
      <w:r w:rsidR="00A367A1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792801" w:rsidRPr="00614229" w:rsidRDefault="0090212B" w:rsidP="006132CA">
      <w:pPr>
        <w:shd w:val="clear" w:color="auto" w:fill="FFFFFF"/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ab/>
      </w:r>
      <w:r w:rsidR="00093AD9" w:rsidRPr="00D64D74">
        <w:rPr>
          <w:rFonts w:ascii="Verdana" w:hAnsi="Verdana"/>
          <w:b/>
          <w:sz w:val="32"/>
          <w:szCs w:val="32"/>
          <w:lang w:val="es-CL"/>
        </w:rPr>
        <w:t xml:space="preserve"> </w:t>
      </w:r>
      <w:r w:rsidR="00093AD9" w:rsidRPr="00D64D74">
        <w:rPr>
          <w:rFonts w:ascii="Verdana" w:hAnsi="Verdana"/>
          <w:sz w:val="32"/>
          <w:szCs w:val="32"/>
          <w:lang w:val="es-CL"/>
        </w:rPr>
        <w:tab/>
      </w:r>
    </w:p>
    <w:p w:rsidR="00792801" w:rsidRPr="00D64D74" w:rsidRDefault="0022691B" w:rsidP="006132CA">
      <w:pPr>
        <w:shd w:val="clear" w:color="auto" w:fill="FFFFFF"/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Como señalé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90212B" w:rsidRPr="00D64D74">
        <w:rPr>
          <w:rFonts w:ascii="Verdana" w:eastAsia="Verdana" w:hAnsi="Verdana" w:cs="Verdana"/>
          <w:sz w:val="32"/>
          <w:szCs w:val="32"/>
          <w:lang w:val="es-CL"/>
        </w:rPr>
        <w:t>junto con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 </w:t>
      </w:r>
      <w:r w:rsidR="00E56413" w:rsidRPr="00FE56EB">
        <w:rPr>
          <w:rFonts w:ascii="Verdana" w:eastAsia="Verdana" w:hAnsi="Verdana" w:cs="Verdana"/>
          <w:sz w:val="32"/>
          <w:szCs w:val="32"/>
          <w:lang w:val="es-CL"/>
        </w:rPr>
        <w:t>modernización</w:t>
      </w:r>
      <w:r w:rsidR="0090212B" w:rsidRPr="00FE56EB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90212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</w:t>
      </w:r>
      <w:r w:rsidR="00093AD9" w:rsidRPr="00D64D74">
        <w:rPr>
          <w:rFonts w:ascii="Verdana" w:eastAsia="Verdana" w:hAnsi="Verdana" w:cs="Verdana"/>
          <w:b/>
          <w:sz w:val="32"/>
          <w:szCs w:val="32"/>
          <w:lang w:val="es-CL"/>
        </w:rPr>
        <w:t>participación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también ha sido un puntal que no puedo soslayar.</w:t>
      </w:r>
    </w:p>
    <w:p w:rsidR="0022691B" w:rsidRPr="00D64D74" w:rsidRDefault="0022691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Pr="00D64D74" w:rsidRDefault="000660E4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P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ara combatir los efectos de la crisis,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se 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>ha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n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realizad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>o mesas de trabajo que consideran a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representantes de los 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distintos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estamentos</w:t>
      </w:r>
      <w:r w:rsidR="00195DB6">
        <w:rPr>
          <w:rFonts w:ascii="Verdana" w:eastAsia="Verdana" w:hAnsi="Verdana" w:cs="Verdana"/>
          <w:sz w:val="32"/>
          <w:szCs w:val="32"/>
          <w:lang w:val="es-CL"/>
        </w:rPr>
        <w:t xml:space="preserve"> y gremios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del Poder Judicial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  <w:r w:rsidR="00DD77B6" w:rsidRPr="00D64D74">
        <w:rPr>
          <w:rFonts w:ascii="Verdana" w:eastAsia="Verdana" w:hAnsi="Verdana" w:cs="Verdana"/>
          <w:sz w:val="32"/>
          <w:szCs w:val="32"/>
          <w:lang w:val="es-CL"/>
        </w:rPr>
        <w:t>L</w:t>
      </w:r>
      <w:r w:rsidR="00E13DF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mesa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destinada a determinar las condiciones para afrontar el funcionamiento de las distintas unidades </w:t>
      </w:r>
      <w:r w:rsidR="00E04486" w:rsidRPr="00D64D74">
        <w:rPr>
          <w:rFonts w:ascii="Verdana" w:eastAsia="Verdana" w:hAnsi="Verdana" w:cs="Verdana"/>
          <w:sz w:val="32"/>
          <w:szCs w:val="32"/>
          <w:lang w:val="es-CL"/>
        </w:rPr>
        <w:t xml:space="preserve">judiciales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en la actual situación sanitari</w:t>
      </w:r>
      <w:r w:rsidR="00835A99" w:rsidRPr="00D64D74">
        <w:rPr>
          <w:rFonts w:ascii="Verdana" w:eastAsia="Verdana" w:hAnsi="Verdana" w:cs="Verdana"/>
          <w:sz w:val="32"/>
          <w:szCs w:val="32"/>
          <w:lang w:val="es-CL"/>
        </w:rPr>
        <w:t>a</w:t>
      </w:r>
      <w:r w:rsidR="00DD77B6" w:rsidRPr="00D64D74">
        <w:rPr>
          <w:rFonts w:ascii="Verdana" w:eastAsia="Verdana" w:hAnsi="Verdana" w:cs="Verdana"/>
          <w:sz w:val="32"/>
          <w:szCs w:val="32"/>
          <w:lang w:val="es-CL"/>
        </w:rPr>
        <w:t>, la mesa generada para afrontar el trabajo asociado al retiro del 10% de las AFP por deudas alimenticias llevada adelante con la judicatura de familia y la i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nstancia de trabajo </w:t>
      </w:r>
      <w:r w:rsidR="00DD77B6" w:rsidRPr="00D64D74">
        <w:rPr>
          <w:rFonts w:ascii="Verdana" w:eastAsia="Verdana" w:hAnsi="Verdana" w:cs="Verdana"/>
          <w:sz w:val="32"/>
          <w:szCs w:val="32"/>
          <w:lang w:val="es-CL"/>
        </w:rPr>
        <w:t>con los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tribunales con competencia en materia civil del país, </w:t>
      </w:r>
      <w:r w:rsidR="00DD77B6" w:rsidRPr="00D64D74">
        <w:rPr>
          <w:rFonts w:ascii="Verdana" w:eastAsia="Verdana" w:hAnsi="Verdana" w:cs="Verdana"/>
          <w:sz w:val="32"/>
          <w:szCs w:val="32"/>
          <w:lang w:val="es-CL"/>
        </w:rPr>
        <w:t>son ejemplos de este esfuerzo colectivo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EA01E5" w:rsidRPr="00D64D74" w:rsidRDefault="00EA01E5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F42E89" w:rsidRPr="00D64D74" w:rsidRDefault="00195DB6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 xml:space="preserve">Otro ejemplo en este sentido es </w:t>
      </w:r>
      <w:r w:rsidR="00F42E8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proactividad con que los tribunales asumieron, a nivel </w:t>
      </w:r>
      <w:r w:rsidR="00E04486" w:rsidRPr="00D64D74">
        <w:rPr>
          <w:rFonts w:ascii="Verdana" w:eastAsia="Verdana" w:hAnsi="Verdana" w:cs="Verdana"/>
          <w:sz w:val="32"/>
          <w:szCs w:val="32"/>
          <w:lang w:val="es-CL"/>
        </w:rPr>
        <w:t>territorial</w:t>
      </w:r>
      <w:r w:rsidR="00F42E89" w:rsidRPr="00D64D74">
        <w:rPr>
          <w:rFonts w:ascii="Verdana" w:eastAsia="Verdana" w:hAnsi="Verdana" w:cs="Verdana"/>
          <w:sz w:val="32"/>
          <w:szCs w:val="32"/>
          <w:lang w:val="es-CL"/>
        </w:rPr>
        <w:t>, la forma de llevar a cabo las audiencias de acuerdo a las condiciones particulares de cada localidad, a fin de dar continuidad al servicio de justicia.</w:t>
      </w:r>
    </w:p>
    <w:p w:rsidR="0022691B" w:rsidRPr="00D64D74" w:rsidRDefault="0022691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Default="00E04486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T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>ambién es representativo de este esfuerzo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la inagotable labor de la Unidad de apoyo para la implementación de la Ley de Tramitació</w:t>
      </w:r>
      <w:r w:rsidR="0022691B" w:rsidRPr="00D64D74">
        <w:rPr>
          <w:rFonts w:ascii="Verdana" w:eastAsia="Verdana" w:hAnsi="Verdana" w:cs="Verdana"/>
          <w:sz w:val="32"/>
          <w:szCs w:val="32"/>
          <w:lang w:val="es-CL"/>
        </w:rPr>
        <w:t>n Digital de los Procedimientos</w:t>
      </w:r>
      <w:r w:rsidR="00645B1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Judiciales, que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además de desarrollar múltiples proyectos vinculados con la mejora y perfilamiento de un cada vez más robusto s</w:t>
      </w:r>
      <w:r w:rsidR="0022691B" w:rsidRPr="00D64D74">
        <w:rPr>
          <w:rFonts w:ascii="Verdana" w:eastAsia="Verdana" w:hAnsi="Verdana" w:cs="Verdana"/>
          <w:sz w:val="32"/>
          <w:szCs w:val="32"/>
          <w:lang w:val="es-CL"/>
        </w:rPr>
        <w:t>istema de tramitación digital</w:t>
      </w:r>
      <w:r w:rsidR="00F42E89" w:rsidRPr="00D64D74">
        <w:rPr>
          <w:rFonts w:ascii="Verdana" w:eastAsia="Verdana" w:hAnsi="Verdana" w:cs="Verdana"/>
          <w:sz w:val="32"/>
          <w:szCs w:val="32"/>
          <w:lang w:val="es-CL"/>
        </w:rPr>
        <w:t>,</w:t>
      </w:r>
      <w:r w:rsidR="0022691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45B1C" w:rsidRPr="00D64D74">
        <w:rPr>
          <w:rFonts w:ascii="Verdana" w:eastAsia="Verdana" w:hAnsi="Verdana" w:cs="Verdana"/>
          <w:sz w:val="32"/>
          <w:szCs w:val="32"/>
          <w:lang w:val="es-CL"/>
        </w:rPr>
        <w:t>realizó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diversos proyectos asociados a la emergencia sanitaria</w:t>
      </w:r>
      <w:r w:rsidR="00F42E89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6132CA" w:rsidRPr="00D64D74" w:rsidRDefault="006132CA" w:rsidP="006132CA">
      <w:pPr>
        <w:spacing w:line="360" w:lineRule="auto"/>
        <w:ind w:firstLine="70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92801" w:rsidRPr="00D64D74" w:rsidRDefault="00645B1C" w:rsidP="006132CA">
      <w:pPr>
        <w:pStyle w:val="Sinespaciado"/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ab/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Pero </w:t>
      </w:r>
      <w:r w:rsidR="00B721C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este </w:t>
      </w:r>
      <w:r w:rsidR="0022691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modelo de trabajo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no se quedó </w:t>
      </w:r>
      <w:r w:rsidR="00B721C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solo 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>en lo interno. A</w:t>
      </w:r>
      <w:r w:rsidR="00B721C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este</w:t>
      </w:r>
      <w:r w:rsidR="0022691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se sumó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un trabajo incesante con el Ejecutivo y el Legislativo.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Independientemente de los m</w:t>
      </w:r>
      <w:r w:rsidR="00B721CB" w:rsidRPr="00D64D74">
        <w:rPr>
          <w:rFonts w:ascii="Verdana" w:eastAsia="Verdana" w:hAnsi="Verdana" w:cs="Verdana"/>
          <w:sz w:val="32"/>
          <w:szCs w:val="32"/>
          <w:lang w:val="es-CL"/>
        </w:rPr>
        <w:t>ú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>ltiples problemas y las dificultades que imponía el panorama político nacional, los tres Poderes del Estado actuaron coordinados, en conjunto, y con un claro objetivo: minimizar los daños que iba a ocasionar esta situación.</w:t>
      </w:r>
      <w:r w:rsidR="00093AD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</w:p>
    <w:p w:rsidR="0022691B" w:rsidRPr="00D64D74" w:rsidRDefault="0022691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Default="00093AD9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ab/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>Ejemplos de este esfuerzo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son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la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participación del Poder Judicial en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dos instancias de trabajo convocadas por el Ministerio de Justicia y Derechos Humanos, a objeto de proponer mejoras administrativas y legislativas para enfrentar el período que se avecinaba en el contexto de la pandemia</w:t>
      </w:r>
      <w:r w:rsidR="00F42E8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los procesos judiciales, t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rabajo que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fue refrendado 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proyecto de ley </w:t>
      </w:r>
      <w:r w:rsidR="00A810D1" w:rsidRPr="00D64D74">
        <w:rPr>
          <w:rFonts w:ascii="Verdana" w:eastAsia="Verdana" w:hAnsi="Verdana" w:cs="Verdana"/>
          <w:sz w:val="32"/>
          <w:szCs w:val="32"/>
          <w:lang w:val="es-CL"/>
        </w:rPr>
        <w:t>en actual tramitación en el Congreso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que esperamos solucione algunos de los problemas </w:t>
      </w:r>
      <w:r w:rsidR="005C02BD" w:rsidRPr="00D64D74">
        <w:rPr>
          <w:rFonts w:ascii="Verdana" w:eastAsia="Verdana" w:hAnsi="Verdana" w:cs="Verdana"/>
          <w:sz w:val="32"/>
          <w:szCs w:val="32"/>
          <w:lang w:val="es-CL"/>
        </w:rPr>
        <w:t>más</w:t>
      </w:r>
      <w:r w:rsidR="003F2D2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acuciosos que se enfrentan en la materia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FE56EB" w:rsidRPr="00D64D74" w:rsidRDefault="00FE56EB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792801" w:rsidRPr="00D64D74" w:rsidRDefault="009F56EA" w:rsidP="006132CA">
      <w:pPr>
        <w:pStyle w:val="Ttulo2"/>
        <w:spacing w:before="0" w:after="0" w:line="360" w:lineRule="auto"/>
        <w:jc w:val="both"/>
      </w:pPr>
      <w:bookmarkStart w:id="9" w:name="_Toc65244165"/>
      <w:r w:rsidRPr="00D64D74">
        <w:t>Retiro del 10%</w:t>
      </w:r>
      <w:r w:rsidR="00A73742" w:rsidRPr="00D64D74">
        <w:t xml:space="preserve"> de los fondos de las AFP</w:t>
      </w:r>
      <w:r w:rsidR="006F1FAD" w:rsidRPr="00D64D74">
        <w:t xml:space="preserve"> y su retención por deudas de alimentos</w:t>
      </w:r>
      <w:bookmarkEnd w:id="9"/>
    </w:p>
    <w:p w:rsidR="002F0334" w:rsidRPr="00D64D74" w:rsidRDefault="002F0334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A810D1" w:rsidRDefault="00A810D1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He dicho que el 2020 fue </w:t>
      </w:r>
      <w:r w:rsidR="00921E79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año </w:t>
      </w:r>
      <w:r w:rsidR="006F1FAD" w:rsidRPr="00D64D74">
        <w:rPr>
          <w:rFonts w:ascii="Verdana" w:eastAsia="Verdana" w:hAnsi="Verdana" w:cs="Verdana"/>
          <w:sz w:val="32"/>
          <w:szCs w:val="32"/>
          <w:lang w:val="es-CL"/>
        </w:rPr>
        <w:t>complejo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. Y a riesgo de ser redundante, quiero recordar un hito que reafirma esa característica</w:t>
      </w:r>
      <w:r w:rsidR="00397CC6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que ejemplifica de un modo elocuente el compromiso de</w:t>
      </w:r>
      <w:r w:rsidR="00FC3B02">
        <w:rPr>
          <w:rFonts w:ascii="Verdana" w:eastAsia="Verdana" w:hAnsi="Verdana" w:cs="Verdana"/>
          <w:sz w:val="32"/>
          <w:szCs w:val="32"/>
          <w:lang w:val="es-CL"/>
        </w:rPr>
        <w:t xml:space="preserve"> nuestra institución </w:t>
      </w:r>
      <w:r w:rsidR="00397CC6" w:rsidRPr="00D64D74">
        <w:rPr>
          <w:rFonts w:ascii="Verdana" w:eastAsia="Verdana" w:hAnsi="Verdana" w:cs="Verdana"/>
          <w:sz w:val="32"/>
          <w:szCs w:val="32"/>
          <w:lang w:val="es-CL"/>
        </w:rPr>
        <w:t>con el acceso a la justicia de toda la población.</w:t>
      </w:r>
    </w:p>
    <w:p w:rsidR="00FC3B02" w:rsidRPr="00D64D74" w:rsidRDefault="00FC3B02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A810D1" w:rsidRPr="00D64D74" w:rsidRDefault="00A810D1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La posibilidad de los cotizantes del sistema de AFP</w:t>
      </w:r>
      <w:r w:rsidR="008537B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retirar una parte de sus fondos acumulados, 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>trajo consigo</w:t>
      </w:r>
      <w:r w:rsidR="00B721C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una herramienta para los acreedores de alimentos 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>generadora de enormes expectativas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: la </w:t>
      </w:r>
      <w:r w:rsidR="00921E79" w:rsidRPr="00D64D74">
        <w:rPr>
          <w:rFonts w:ascii="Verdana" w:eastAsia="Verdana" w:hAnsi="Verdana" w:cs="Verdana"/>
          <w:sz w:val="32"/>
          <w:szCs w:val="32"/>
          <w:lang w:val="es-CL"/>
        </w:rPr>
        <w:t>retención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esos fondos en razón de </w:t>
      </w:r>
      <w:r w:rsidR="00FC3B02">
        <w:rPr>
          <w:rFonts w:ascii="Verdana" w:eastAsia="Verdana" w:hAnsi="Verdana" w:cs="Verdana"/>
          <w:sz w:val="32"/>
          <w:szCs w:val="32"/>
          <w:lang w:val="es-CL"/>
        </w:rPr>
        <w:t>estas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deudas. </w:t>
      </w:r>
    </w:p>
    <w:p w:rsidR="002F0334" w:rsidRPr="00D64D74" w:rsidRDefault="002F0334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2F0334" w:rsidRPr="00D64D74" w:rsidRDefault="00FC3B02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>E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>l agolpamiento masivo</w:t>
      </w:r>
      <w:r>
        <w:rPr>
          <w:rFonts w:ascii="Verdana" w:eastAsia="Verdana" w:hAnsi="Verdana" w:cs="Verdana"/>
          <w:sz w:val="32"/>
          <w:szCs w:val="32"/>
          <w:lang w:val="es-CL"/>
        </w:rPr>
        <w:t xml:space="preserve"> de personas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>
        <w:rPr>
          <w:rFonts w:ascii="Verdana" w:eastAsia="Verdana" w:hAnsi="Verdana" w:cs="Verdana"/>
          <w:sz w:val="32"/>
          <w:szCs w:val="32"/>
          <w:lang w:val="es-CL"/>
        </w:rPr>
        <w:t>en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los tribunales pidiendo las retenciones de estos fondos por concepto de deudas de alimentos</w:t>
      </w:r>
      <w:r>
        <w:rPr>
          <w:rFonts w:ascii="Verdana" w:eastAsia="Verdana" w:hAnsi="Verdana" w:cs="Verdana"/>
          <w:sz w:val="32"/>
          <w:szCs w:val="32"/>
          <w:lang w:val="es-CL"/>
        </w:rPr>
        <w:t>,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es reflejo </w:t>
      </w:r>
      <w:r w:rsidR="009B318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de un 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problema </w:t>
      </w:r>
      <w:r w:rsidR="009B318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que 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>trasciende, con creces, la sola contingencia actual pandémica</w:t>
      </w:r>
      <w:r w:rsidR="009B3185" w:rsidRPr="00D64D74">
        <w:rPr>
          <w:rFonts w:ascii="Verdana" w:eastAsia="Verdana" w:hAnsi="Verdana" w:cs="Verdana"/>
          <w:sz w:val="32"/>
          <w:szCs w:val="32"/>
          <w:lang w:val="es-CL"/>
        </w:rPr>
        <w:t>. Un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problema sistémico cuya solución no radica en el solo empuje del Poder Judicial en su compleja fase de cumplimiento. </w:t>
      </w:r>
    </w:p>
    <w:p w:rsidR="002F0334" w:rsidRPr="00D64D74" w:rsidRDefault="002F0334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2F0334" w:rsidRPr="00D64D74" w:rsidRDefault="00F74742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3F17BB">
        <w:rPr>
          <w:rFonts w:ascii="Verdana" w:eastAsia="Verdana" w:hAnsi="Verdana" w:cs="Verdana"/>
          <w:sz w:val="32"/>
          <w:szCs w:val="32"/>
          <w:lang w:val="es-CL"/>
        </w:rPr>
        <w:t>Más de 636</w:t>
      </w:r>
      <w:r w:rsidR="002F0334" w:rsidRPr="003F17BB">
        <w:rPr>
          <w:rFonts w:ascii="Verdana" w:eastAsia="Verdana" w:hAnsi="Verdana" w:cs="Verdana"/>
          <w:sz w:val="32"/>
          <w:szCs w:val="32"/>
          <w:lang w:val="es-CL"/>
        </w:rPr>
        <w:t xml:space="preserve"> mil escritos presentados desde la entrada en vigencia de la reforma constitucional en comento y más de </w:t>
      </w:r>
      <w:r w:rsidR="003F17BB" w:rsidRPr="003F17BB">
        <w:rPr>
          <w:rFonts w:ascii="Verdana" w:eastAsia="Verdana" w:hAnsi="Verdana" w:cs="Verdana"/>
          <w:sz w:val="32"/>
          <w:szCs w:val="32"/>
          <w:lang w:val="es-CL"/>
        </w:rPr>
        <w:t>533</w:t>
      </w:r>
      <w:r w:rsidR="002F0334" w:rsidRPr="003F17BB">
        <w:rPr>
          <w:rFonts w:ascii="Verdana" w:eastAsia="Verdana" w:hAnsi="Verdana" w:cs="Verdana"/>
          <w:sz w:val="32"/>
          <w:szCs w:val="32"/>
          <w:lang w:val="es-CL"/>
        </w:rPr>
        <w:t xml:space="preserve"> mil medidas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cautelares decretadas en orden a retener los fondos, son evidencia de la necesidad y celeridad con que nuestros usuarios y usuarias han actuado y de las </w:t>
      </w:r>
      <w:r w:rsidR="0079527D" w:rsidRPr="00D64D74">
        <w:rPr>
          <w:rFonts w:ascii="Verdana" w:eastAsia="Verdana" w:hAnsi="Verdana" w:cs="Verdana"/>
          <w:sz w:val="32"/>
          <w:szCs w:val="32"/>
          <w:lang w:val="es-CL"/>
        </w:rPr>
        <w:t>medidas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nuestra institución ha </w:t>
      </w:r>
      <w:r w:rsidR="00E56413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dispuesto </w:t>
      </w:r>
      <w:r w:rsidR="0079527D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para facilitar la 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presentación y gestión de esas peticiones.  Sin </w:t>
      </w:r>
      <w:r w:rsidR="00FC3B02">
        <w:rPr>
          <w:rFonts w:ascii="Verdana" w:eastAsia="Verdana" w:hAnsi="Verdana" w:cs="Verdana"/>
          <w:sz w:val="32"/>
          <w:szCs w:val="32"/>
          <w:lang w:val="es-CL"/>
        </w:rPr>
        <w:t>una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articulación interna, sin la coordinación con órganos externos involucrados en este proceso y sin la existencia de sistemas de tramitación digital y el robustecimiento de las atenciones a distancia, no habría sido posible </w:t>
      </w:r>
      <w:r w:rsidR="005C02BD" w:rsidRPr="00D64D74">
        <w:rPr>
          <w:rFonts w:ascii="Verdana" w:eastAsia="Verdana" w:hAnsi="Verdana" w:cs="Verdana"/>
          <w:sz w:val="32"/>
          <w:szCs w:val="32"/>
          <w:lang w:val="es-CL"/>
        </w:rPr>
        <w:t>absorber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esta demanda de justicia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>.</w:t>
      </w:r>
    </w:p>
    <w:p w:rsidR="002F0334" w:rsidRPr="00D64D74" w:rsidRDefault="002F0334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92801" w:rsidRDefault="005C02BD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ab/>
      </w:r>
      <w:r w:rsidR="0037542D" w:rsidRPr="00D64D74">
        <w:rPr>
          <w:rFonts w:ascii="Verdana" w:eastAsia="Verdana" w:hAnsi="Verdana" w:cs="Verdana"/>
          <w:sz w:val="32"/>
          <w:szCs w:val="32"/>
          <w:lang w:val="es-CL"/>
        </w:rPr>
        <w:t>D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>ebemos</w:t>
      </w:r>
      <w:r w:rsidR="002F0334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>asumir el problema de</w:t>
      </w:r>
      <w:r w:rsidR="00FC3B02">
        <w:rPr>
          <w:rFonts w:ascii="Verdana" w:eastAsia="Verdana" w:hAnsi="Verdana" w:cs="Verdana"/>
          <w:sz w:val="32"/>
          <w:szCs w:val="32"/>
          <w:lang w:val="es-CL"/>
        </w:rPr>
        <w:t xml:space="preserve"> los alimentos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>y en especial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aquellos destinados a la man</w:t>
      </w:r>
      <w:r w:rsidR="00F87BCE" w:rsidRPr="00D64D74">
        <w:rPr>
          <w:rFonts w:ascii="Verdana" w:eastAsia="Verdana" w:hAnsi="Verdana" w:cs="Verdana"/>
          <w:sz w:val="32"/>
          <w:szCs w:val="32"/>
          <w:lang w:val="es-CL"/>
        </w:rPr>
        <w:t>utención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niños, niñas y adolescentes como un 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>tema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 Estado, con 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una </w:t>
      </w:r>
      <w:r w:rsidR="00745B97" w:rsidRPr="00D64D74">
        <w:rPr>
          <w:rFonts w:ascii="Verdana" w:eastAsia="Verdana" w:hAnsi="Verdana" w:cs="Verdana"/>
          <w:sz w:val="32"/>
          <w:szCs w:val="32"/>
          <w:lang w:val="es-CL"/>
        </w:rPr>
        <w:t>visión sistémica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>, que implique la superación del concepto de las deudas alimenticias como una simple obligación civil que se pone a la fila de las restantes. Se trata de un deber moral de la mayor trascendencia</w:t>
      </w:r>
      <w:r w:rsidR="005A0CBF" w:rsidRPr="00D64D74">
        <w:rPr>
          <w:rFonts w:ascii="Verdana" w:eastAsia="Verdana" w:hAnsi="Verdana" w:cs="Verdana"/>
          <w:sz w:val="32"/>
          <w:szCs w:val="32"/>
          <w:lang w:val="es-CL"/>
        </w:rPr>
        <w:t>, en que están involucrad</w:t>
      </w:r>
      <w:r w:rsidR="00E848E1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as desigualdades </w:t>
      </w:r>
      <w:r w:rsidR="00FC3B02">
        <w:rPr>
          <w:rFonts w:ascii="Verdana" w:eastAsia="Verdana" w:hAnsi="Verdana" w:cs="Verdana"/>
          <w:sz w:val="32"/>
          <w:szCs w:val="32"/>
          <w:lang w:val="es-CL"/>
        </w:rPr>
        <w:t>de género</w:t>
      </w:r>
      <w:r w:rsidR="005A0CBF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invita a la acción de los</w:t>
      </w:r>
      <w:r w:rsidR="00FC3B02">
        <w:rPr>
          <w:rFonts w:ascii="Verdana" w:eastAsia="Verdana" w:hAnsi="Verdana" w:cs="Verdana"/>
          <w:sz w:val="32"/>
          <w:szCs w:val="32"/>
          <w:lang w:val="es-CL"/>
        </w:rPr>
        <w:t xml:space="preserve"> órganos co legisladores, de la</w:t>
      </w:r>
      <w:r w:rsidR="006648B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que siempre seremos colaboradores.</w:t>
      </w:r>
    </w:p>
    <w:p w:rsidR="00FE56EB" w:rsidRPr="00D64D74" w:rsidRDefault="00FE56EB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967CAB" w:rsidRPr="00D64D74" w:rsidRDefault="00C4050F" w:rsidP="006132CA">
      <w:pPr>
        <w:pStyle w:val="Ttulo1"/>
        <w:spacing w:before="0" w:after="0" w:line="360" w:lineRule="auto"/>
        <w:jc w:val="both"/>
      </w:pPr>
      <w:bookmarkStart w:id="10" w:name="_Toc65244166"/>
      <w:r w:rsidRPr="00D64D74">
        <w:t xml:space="preserve">COMPROMISO CON LOS </w:t>
      </w:r>
      <w:r w:rsidR="007D6FE9">
        <w:t xml:space="preserve">DERECHOS HUMANOS </w:t>
      </w:r>
      <w:r w:rsidR="00D2562E" w:rsidRPr="00D64D74">
        <w:t>DE TODAS LAS PERSONAS</w:t>
      </w:r>
      <w:bookmarkEnd w:id="10"/>
    </w:p>
    <w:p w:rsidR="005C02BD" w:rsidRPr="00D64D74" w:rsidRDefault="005C02BD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D2562E" w:rsidRPr="00255D06" w:rsidRDefault="00D2562E" w:rsidP="006132CA">
      <w:pPr>
        <w:spacing w:line="360" w:lineRule="auto"/>
        <w:ind w:firstLine="709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Los organismos del Estado 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>de Chile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poseen la obligación de ceñir su funcionamiento a lo prescrito por la </w:t>
      </w:r>
      <w:r w:rsidR="00362669" w:rsidRPr="00D64D74">
        <w:rPr>
          <w:rFonts w:ascii="Verdana" w:eastAsia="Verdana" w:hAnsi="Verdana" w:cs="Verdana"/>
          <w:sz w:val="32"/>
          <w:szCs w:val="32"/>
          <w:lang w:val="es-CL"/>
        </w:rPr>
        <w:t>C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onstitución, la ley y el Derecho Internacional de los Derechos Humanos.</w:t>
      </w:r>
    </w:p>
    <w:p w:rsidR="005C02BD" w:rsidRPr="00D64D74" w:rsidRDefault="005C02B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D2562E" w:rsidRPr="00D64D74" w:rsidRDefault="00D2562E" w:rsidP="006132CA">
      <w:pPr>
        <w:spacing w:line="360" w:lineRule="auto"/>
        <w:ind w:firstLine="709"/>
        <w:jc w:val="both"/>
        <w:rPr>
          <w:rFonts w:ascii="Verdana" w:eastAsia="Calibri" w:hAnsi="Verdana" w:cs="Calibri"/>
          <w:sz w:val="32"/>
          <w:szCs w:val="32"/>
          <w:lang w:val="es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Atendido </w:t>
      </w:r>
      <w:r w:rsidR="00E56413" w:rsidRPr="00D64D74">
        <w:rPr>
          <w:rFonts w:ascii="Verdana" w:eastAsia="Verdana" w:hAnsi="Verdana" w:cs="Verdana"/>
          <w:sz w:val="32"/>
          <w:szCs w:val="32"/>
          <w:lang w:val="es-CL"/>
        </w:rPr>
        <w:t>lo anterior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quiero </w:t>
      </w:r>
      <w:r w:rsidR="00E56413" w:rsidRPr="00D64D74">
        <w:rPr>
          <w:rFonts w:ascii="Verdana" w:eastAsia="Verdana" w:hAnsi="Verdana" w:cs="Verdana"/>
          <w:sz w:val="32"/>
          <w:szCs w:val="32"/>
          <w:lang w:val="es-CL"/>
        </w:rPr>
        <w:t>reseñar</w:t>
      </w:r>
      <w:r w:rsidR="007A04E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el trabajo que ha realizado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Poder Judicial en la materia, deteniéndome especialmente en tres ámbitos </w:t>
      </w:r>
      <w:r w:rsidR="007A04E2" w:rsidRPr="00D64D74">
        <w:rPr>
          <w:rFonts w:ascii="Verdana" w:eastAsia="Verdana" w:hAnsi="Verdana" w:cs="Verdana"/>
          <w:sz w:val="32"/>
          <w:szCs w:val="32"/>
          <w:lang w:val="es-CL"/>
        </w:rPr>
        <w:t>temáticos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: </w:t>
      </w:r>
      <w:r w:rsidR="007A04E2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de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las causas que persiguen investigar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 </w:t>
      </w:r>
      <w:r w:rsidR="00E56413" w:rsidRPr="00D64D74">
        <w:rPr>
          <w:rFonts w:ascii="Verdana" w:eastAsia="Calibri" w:hAnsi="Verdana" w:cs="Calibri"/>
          <w:sz w:val="32"/>
          <w:szCs w:val="32"/>
          <w:lang w:val="es"/>
        </w:rPr>
        <w:t xml:space="preserve">y sancionar 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las graves violaciones a los Derechos Humanos ocurridas en Chile entre 1973 y 1990; </w:t>
      </w:r>
      <w:r w:rsidR="007A04E2" w:rsidRPr="00D64D74">
        <w:rPr>
          <w:rFonts w:ascii="Verdana" w:eastAsia="Calibri" w:hAnsi="Verdana" w:cs="Calibri"/>
          <w:sz w:val="32"/>
          <w:szCs w:val="32"/>
          <w:lang w:val="es"/>
        </w:rPr>
        <w:t xml:space="preserve">el de las causas </w:t>
      </w:r>
      <w:r w:rsidR="00F87BCE" w:rsidRPr="00D64D74">
        <w:rPr>
          <w:rFonts w:ascii="Verdana" w:eastAsia="Calibri" w:hAnsi="Verdana" w:cs="Calibri"/>
          <w:sz w:val="32"/>
          <w:szCs w:val="32"/>
          <w:lang w:val="es"/>
        </w:rPr>
        <w:t>de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 posibles vulneraciones de derechos humanos </w:t>
      </w:r>
      <w:r w:rsidR="00F87BCE" w:rsidRPr="00D64D74">
        <w:rPr>
          <w:rFonts w:ascii="Verdana" w:eastAsia="Calibri" w:hAnsi="Verdana" w:cs="Calibri"/>
          <w:sz w:val="32"/>
          <w:szCs w:val="32"/>
          <w:lang w:val="es"/>
        </w:rPr>
        <w:t>producidas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 tras el “Estallido Social” de octubre de 2019; y el </w:t>
      </w:r>
      <w:r w:rsidR="007A04E2" w:rsidRPr="00D64D74">
        <w:rPr>
          <w:rFonts w:ascii="Verdana" w:eastAsia="Calibri" w:hAnsi="Verdana" w:cs="Calibri"/>
          <w:sz w:val="32"/>
          <w:szCs w:val="32"/>
          <w:lang w:val="es"/>
        </w:rPr>
        <w:t xml:space="preserve">que remite al 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desarrollo de políticas orientadas a proteger y fomentar los derechos de los sectores </w:t>
      </w:r>
      <w:r w:rsidR="007A04E2" w:rsidRPr="00D64D74">
        <w:rPr>
          <w:rFonts w:ascii="Verdana" w:eastAsia="Calibri" w:hAnsi="Verdana" w:cs="Calibri"/>
          <w:sz w:val="32"/>
          <w:szCs w:val="32"/>
          <w:lang w:val="es"/>
        </w:rPr>
        <w:t>más vulnerables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. </w:t>
      </w:r>
    </w:p>
    <w:p w:rsidR="00F87BCE" w:rsidRPr="00D64D74" w:rsidRDefault="00F87BCE" w:rsidP="006132CA">
      <w:pPr>
        <w:spacing w:line="360" w:lineRule="auto"/>
        <w:ind w:firstLine="709"/>
        <w:jc w:val="both"/>
        <w:rPr>
          <w:rFonts w:ascii="Verdana" w:eastAsia="Calibri" w:hAnsi="Verdana" w:cs="Calibri"/>
          <w:sz w:val="32"/>
          <w:szCs w:val="32"/>
          <w:lang w:val="es"/>
        </w:rPr>
      </w:pPr>
    </w:p>
    <w:p w:rsidR="00967CAB" w:rsidRPr="00D64D74" w:rsidRDefault="00093AD9" w:rsidP="006132CA">
      <w:pPr>
        <w:pStyle w:val="Ttulo2"/>
        <w:numPr>
          <w:ilvl w:val="0"/>
          <w:numId w:val="9"/>
        </w:numPr>
        <w:spacing w:before="0" w:after="0" w:line="360" w:lineRule="auto"/>
      </w:pPr>
      <w:bookmarkStart w:id="11" w:name="_Toc65244167"/>
      <w:r w:rsidRPr="00D64D74">
        <w:t xml:space="preserve">Causas de </w:t>
      </w:r>
      <w:r w:rsidR="007D6FE9">
        <w:t>DERECHOS HUMANOS</w:t>
      </w:r>
      <w:bookmarkEnd w:id="11"/>
    </w:p>
    <w:p w:rsidR="006648B2" w:rsidRPr="00D64D74" w:rsidRDefault="006648B2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6648B2" w:rsidRPr="00D64D74" w:rsidRDefault="00967CAB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La investigación y sanción de las graves violaciones a los Derechos Humanos ocurridas en Chile entre 1973 y 1990, no ha cesado por efecto de la pandemia. </w:t>
      </w:r>
    </w:p>
    <w:p w:rsidR="005C02BD" w:rsidRPr="00D64D74" w:rsidRDefault="005C02B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"/>
        </w:rPr>
      </w:pPr>
    </w:p>
    <w:p w:rsidR="006648B2" w:rsidRPr="00D64D74" w:rsidRDefault="00967CAB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Las </w:t>
      </w:r>
      <w:r w:rsidR="00F87BCE" w:rsidRPr="00D64D74">
        <w:rPr>
          <w:rFonts w:ascii="Verdana" w:eastAsia="Calibri" w:hAnsi="Verdana" w:cs="Calibri"/>
          <w:sz w:val="32"/>
          <w:szCs w:val="32"/>
          <w:lang w:val="es"/>
        </w:rPr>
        <w:t>m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inistras y </w:t>
      </w:r>
      <w:r w:rsidR="00F87BCE" w:rsidRPr="00D64D74">
        <w:rPr>
          <w:rFonts w:ascii="Verdana" w:eastAsia="Calibri" w:hAnsi="Verdana" w:cs="Calibri"/>
          <w:sz w:val="32"/>
          <w:szCs w:val="32"/>
          <w:lang w:val="es"/>
        </w:rPr>
        <w:t>mi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nistros en </w:t>
      </w:r>
      <w:r w:rsidR="00F87BCE" w:rsidRPr="00D64D74">
        <w:rPr>
          <w:rFonts w:ascii="Verdana" w:eastAsia="Calibri" w:hAnsi="Verdana" w:cs="Calibri"/>
          <w:sz w:val="32"/>
          <w:szCs w:val="32"/>
          <w:lang w:val="es"/>
        </w:rPr>
        <w:t>v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>isita que a nivel nacional investigan y fallan estos hechos</w:t>
      </w:r>
      <w:r w:rsidR="005A0CBF" w:rsidRPr="00D64D74">
        <w:rPr>
          <w:rFonts w:ascii="Verdana" w:eastAsia="Calibri" w:hAnsi="Verdana" w:cs="Calibri"/>
          <w:sz w:val="32"/>
          <w:szCs w:val="32"/>
          <w:lang w:val="es"/>
        </w:rPr>
        <w:t>,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 han debido adaptarse a las restricciones de movilidad</w:t>
      </w:r>
      <w:r w:rsidR="00362669" w:rsidRPr="00D64D74">
        <w:rPr>
          <w:rFonts w:ascii="Verdana" w:eastAsia="Calibri" w:hAnsi="Verdana" w:cs="Calibri"/>
          <w:sz w:val="32"/>
          <w:szCs w:val="32"/>
          <w:lang w:val="es"/>
        </w:rPr>
        <w:t>,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 utilizando la tecnología disponible. </w:t>
      </w:r>
      <w:r w:rsidR="00706422" w:rsidRPr="00D64D74">
        <w:rPr>
          <w:rFonts w:ascii="Verdana" w:eastAsia="Calibri" w:hAnsi="Verdana" w:cs="Calibri"/>
          <w:sz w:val="32"/>
          <w:szCs w:val="32"/>
          <w:lang w:val="es"/>
        </w:rPr>
        <w:t>Esta actitud ha permitido que, por ejemplo</w:t>
      </w:r>
      <w:r w:rsidR="005666AE" w:rsidRPr="00D64D74">
        <w:rPr>
          <w:rFonts w:ascii="Verdana" w:eastAsia="Calibri" w:hAnsi="Verdana" w:cs="Calibri"/>
          <w:sz w:val="32"/>
          <w:szCs w:val="32"/>
          <w:lang w:val="es"/>
        </w:rPr>
        <w:t>,</w:t>
      </w:r>
      <w:r w:rsidR="004C153E" w:rsidRPr="00D64D74">
        <w:rPr>
          <w:rFonts w:ascii="Verdana" w:eastAsia="Calibri" w:hAnsi="Verdana" w:cs="Calibri"/>
          <w:sz w:val="32"/>
          <w:szCs w:val="32"/>
          <w:lang w:val="es"/>
        </w:rPr>
        <w:t xml:space="preserve"> durante el 2020</w:t>
      </w:r>
      <w:r w:rsidR="00A90282">
        <w:rPr>
          <w:rFonts w:ascii="Verdana" w:eastAsia="Calibri" w:hAnsi="Verdana" w:cs="Calibri"/>
          <w:sz w:val="32"/>
          <w:szCs w:val="32"/>
          <w:lang w:val="es"/>
        </w:rPr>
        <w:t>,</w:t>
      </w:r>
      <w:r w:rsidR="004C153E" w:rsidRPr="00D64D74">
        <w:rPr>
          <w:rFonts w:ascii="Verdana" w:eastAsia="Calibri" w:hAnsi="Verdana" w:cs="Calibri"/>
          <w:sz w:val="32"/>
          <w:szCs w:val="32"/>
          <w:lang w:val="es"/>
        </w:rPr>
        <w:t xml:space="preserve"> se </w:t>
      </w:r>
      <w:r w:rsidR="00706422" w:rsidRPr="00D64D74">
        <w:rPr>
          <w:rFonts w:ascii="Verdana" w:eastAsia="Calibri" w:hAnsi="Verdana" w:cs="Calibri"/>
          <w:sz w:val="32"/>
          <w:szCs w:val="32"/>
          <w:lang w:val="es"/>
        </w:rPr>
        <w:t>hayan dictado</w:t>
      </w:r>
      <w:r w:rsidR="004C153E" w:rsidRPr="00D64D74">
        <w:rPr>
          <w:rFonts w:ascii="Verdana" w:eastAsia="Calibri" w:hAnsi="Verdana" w:cs="Calibri"/>
          <w:sz w:val="32"/>
          <w:szCs w:val="32"/>
          <w:lang w:val="es"/>
        </w:rPr>
        <w:t xml:space="preserve"> 275 sentencias</w:t>
      </w:r>
      <w:r w:rsidR="00706422" w:rsidRPr="00D64D74">
        <w:rPr>
          <w:rFonts w:ascii="Verdana" w:eastAsia="Calibri" w:hAnsi="Verdana" w:cs="Calibri"/>
          <w:sz w:val="32"/>
          <w:szCs w:val="32"/>
          <w:lang w:val="es"/>
        </w:rPr>
        <w:t xml:space="preserve"> definitivas</w:t>
      </w:r>
      <w:r w:rsidR="004C153E" w:rsidRPr="00D64D74">
        <w:rPr>
          <w:rFonts w:ascii="Verdana" w:eastAsia="Calibri" w:hAnsi="Verdana" w:cs="Calibri"/>
          <w:sz w:val="32"/>
          <w:szCs w:val="32"/>
          <w:lang w:val="es"/>
        </w:rPr>
        <w:t xml:space="preserve">, </w:t>
      </w:r>
      <w:r w:rsidR="00706422" w:rsidRPr="00D64D74">
        <w:rPr>
          <w:rFonts w:ascii="Verdana" w:eastAsia="Calibri" w:hAnsi="Verdana" w:cs="Calibri"/>
          <w:sz w:val="32"/>
          <w:szCs w:val="32"/>
          <w:lang w:val="es"/>
        </w:rPr>
        <w:t xml:space="preserve">existiendo </w:t>
      </w:r>
      <w:r w:rsidR="005666AE" w:rsidRPr="00D64D74">
        <w:rPr>
          <w:rFonts w:ascii="Verdana" w:eastAsia="Calibri" w:hAnsi="Verdana" w:cs="Calibri"/>
          <w:sz w:val="32"/>
          <w:szCs w:val="32"/>
          <w:lang w:val="es"/>
        </w:rPr>
        <w:t xml:space="preserve">1.190 </w:t>
      </w:r>
      <w:r w:rsidR="00A90282">
        <w:rPr>
          <w:rFonts w:ascii="Verdana" w:eastAsia="Calibri" w:hAnsi="Verdana" w:cs="Calibri"/>
          <w:sz w:val="32"/>
          <w:szCs w:val="32"/>
          <w:lang w:val="es"/>
        </w:rPr>
        <w:t xml:space="preserve">causas </w:t>
      </w:r>
      <w:r w:rsidR="005666AE" w:rsidRPr="00D64D74">
        <w:rPr>
          <w:rFonts w:ascii="Verdana" w:eastAsia="Calibri" w:hAnsi="Verdana" w:cs="Calibri"/>
          <w:sz w:val="32"/>
          <w:szCs w:val="32"/>
          <w:lang w:val="es"/>
        </w:rPr>
        <w:t xml:space="preserve">en estado de sumario y </w:t>
      </w:r>
      <w:r w:rsidR="00667F7E">
        <w:rPr>
          <w:rFonts w:ascii="Verdana" w:eastAsia="Calibri" w:hAnsi="Verdana" w:cs="Calibri"/>
          <w:sz w:val="32"/>
          <w:szCs w:val="32"/>
          <w:lang w:val="es"/>
        </w:rPr>
        <w:t>131</w:t>
      </w:r>
      <w:r w:rsidR="005666AE" w:rsidRPr="00D64D74">
        <w:rPr>
          <w:rFonts w:ascii="Verdana" w:eastAsia="Calibri" w:hAnsi="Verdana" w:cs="Calibri"/>
          <w:sz w:val="32"/>
          <w:szCs w:val="32"/>
          <w:lang w:val="es"/>
        </w:rPr>
        <w:t xml:space="preserve"> en </w:t>
      </w:r>
      <w:r w:rsidR="00706422" w:rsidRPr="00D64D74">
        <w:rPr>
          <w:rFonts w:ascii="Verdana" w:eastAsia="Calibri" w:hAnsi="Verdana" w:cs="Calibri"/>
          <w:sz w:val="32"/>
          <w:szCs w:val="32"/>
          <w:lang w:val="es"/>
        </w:rPr>
        <w:t xml:space="preserve">estado </w:t>
      </w:r>
      <w:r w:rsidR="005666AE" w:rsidRPr="00D64D74">
        <w:rPr>
          <w:rFonts w:ascii="Verdana" w:eastAsia="Calibri" w:hAnsi="Verdana" w:cs="Calibri"/>
          <w:sz w:val="32"/>
          <w:szCs w:val="32"/>
          <w:lang w:val="es"/>
        </w:rPr>
        <w:t xml:space="preserve">plenario. </w:t>
      </w:r>
    </w:p>
    <w:p w:rsidR="0022691B" w:rsidRPr="00A90282" w:rsidRDefault="0022691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" w:eastAsia="en-US"/>
        </w:rPr>
      </w:pPr>
    </w:p>
    <w:p w:rsidR="00AD6F6A" w:rsidRDefault="00B52232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-CL"/>
        </w:rPr>
      </w:pPr>
      <w:r w:rsidRPr="00D64D74">
        <w:rPr>
          <w:rFonts w:ascii="Verdana" w:eastAsia="Calibri" w:hAnsi="Verdana" w:cs="Calibri"/>
          <w:sz w:val="32"/>
          <w:szCs w:val="32"/>
          <w:lang w:val="es"/>
        </w:rPr>
        <w:t>Durante el 2020, junto con reafirmarse los</w:t>
      </w:r>
      <w:r w:rsidR="004D3C81" w:rsidRPr="00D64D74">
        <w:rPr>
          <w:rFonts w:ascii="Verdana" w:eastAsia="Calibri" w:hAnsi="Verdana" w:cs="Calibri"/>
          <w:sz w:val="32"/>
          <w:szCs w:val="32"/>
          <w:lang w:val="es"/>
        </w:rPr>
        <w:t xml:space="preserve"> acuerdos </w:t>
      </w:r>
      <w:r w:rsidR="001170E1" w:rsidRPr="00D64D74">
        <w:rPr>
          <w:rFonts w:ascii="Verdana" w:eastAsia="Calibri" w:hAnsi="Verdana" w:cs="Calibri"/>
          <w:sz w:val="32"/>
          <w:szCs w:val="32"/>
          <w:lang w:val="es"/>
        </w:rPr>
        <w:t xml:space="preserve">adoptados por </w:t>
      </w:r>
      <w:r w:rsidR="006648B2" w:rsidRPr="00D64D74">
        <w:rPr>
          <w:rFonts w:ascii="Verdana" w:eastAsia="Calibri" w:hAnsi="Verdana" w:cs="Calibri"/>
          <w:sz w:val="32"/>
          <w:szCs w:val="32"/>
          <w:lang w:val="es"/>
        </w:rPr>
        <w:t xml:space="preserve">el Pleno de la Corte Suprema 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en 2019 </w:t>
      </w:r>
      <w:r w:rsidR="006648B2" w:rsidRPr="00D64D74">
        <w:rPr>
          <w:rFonts w:ascii="Verdana" w:eastAsia="Calibri" w:hAnsi="Verdana" w:cs="Calibri"/>
          <w:sz w:val="32"/>
          <w:szCs w:val="32"/>
          <w:lang w:val="es"/>
        </w:rPr>
        <w:t>para dar mayor celeridad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 xml:space="preserve"> </w:t>
      </w:r>
      <w:r w:rsidR="00332922" w:rsidRPr="00D64D74">
        <w:rPr>
          <w:rFonts w:ascii="Verdana" w:eastAsia="Calibri" w:hAnsi="Verdana" w:cs="Calibri"/>
          <w:sz w:val="32"/>
          <w:szCs w:val="32"/>
          <w:lang w:val="es"/>
        </w:rPr>
        <w:t>a los recursos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 xml:space="preserve">, </w:t>
      </w:r>
      <w:r w:rsidR="00AD6F6A">
        <w:rPr>
          <w:rFonts w:ascii="Verdana" w:eastAsia="Calibri" w:hAnsi="Verdana" w:cs="Calibri"/>
          <w:sz w:val="32"/>
          <w:szCs w:val="32"/>
          <w:lang w:val="es"/>
        </w:rPr>
        <w:t>se realizó un seguimiento de estas por parte d</w:t>
      </w:r>
      <w:r w:rsidR="00967CAB" w:rsidRPr="00D64D74">
        <w:rPr>
          <w:rFonts w:ascii="Verdana" w:eastAsia="Calibri" w:hAnsi="Verdana" w:cs="Calibri"/>
          <w:sz w:val="32"/>
          <w:szCs w:val="32"/>
          <w:lang w:val="es-CL"/>
        </w:rPr>
        <w:t>el Ministro Coordinador de Causas de Derechos Humanos</w:t>
      </w:r>
      <w:r w:rsidR="00AD6F6A">
        <w:rPr>
          <w:rFonts w:ascii="Verdana" w:eastAsia="Calibri" w:hAnsi="Verdana" w:cs="Calibri"/>
          <w:sz w:val="32"/>
          <w:szCs w:val="32"/>
          <w:lang w:val="es-CL"/>
        </w:rPr>
        <w:t>.</w:t>
      </w:r>
      <w:r w:rsidR="00BD5550">
        <w:rPr>
          <w:rFonts w:ascii="Verdana" w:eastAsia="Calibri" w:hAnsi="Verdana" w:cs="Calibri"/>
          <w:sz w:val="32"/>
          <w:szCs w:val="32"/>
          <w:lang w:val="es-CL"/>
        </w:rPr>
        <w:t xml:space="preserve"> </w:t>
      </w:r>
    </w:p>
    <w:p w:rsidR="00AD6F6A" w:rsidRDefault="00AD6F6A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-CL"/>
        </w:rPr>
      </w:pPr>
    </w:p>
    <w:p w:rsidR="00967CAB" w:rsidRPr="00D64D74" w:rsidRDefault="00AD6F6A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  <w:r>
        <w:rPr>
          <w:rFonts w:ascii="Verdana" w:eastAsia="Calibri" w:hAnsi="Verdana" w:cs="Calibri"/>
          <w:sz w:val="32"/>
          <w:szCs w:val="32"/>
          <w:lang w:val="es-CL"/>
        </w:rPr>
        <w:t>De este modo, se ha</w:t>
      </w:r>
      <w:r w:rsidR="00967CAB" w:rsidRPr="00D64D74">
        <w:rPr>
          <w:rFonts w:ascii="Verdana" w:eastAsia="Calibri" w:hAnsi="Verdana" w:cs="Calibri"/>
          <w:sz w:val="32"/>
          <w:szCs w:val="32"/>
          <w:lang w:val="es-CL"/>
        </w:rPr>
        <w:t xml:space="preserve"> 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 xml:space="preserve">acelerado la tramitación de los recursos ante las Cortes, </w:t>
      </w:r>
      <w:r w:rsidR="0022691B" w:rsidRPr="00D64D74">
        <w:rPr>
          <w:rFonts w:ascii="Verdana" w:eastAsia="Calibri" w:hAnsi="Verdana" w:cs="Calibri"/>
          <w:sz w:val="32"/>
          <w:szCs w:val="32"/>
          <w:lang w:val="es"/>
        </w:rPr>
        <w:t xml:space="preserve">las que 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 xml:space="preserve">han informado semanalmente sobre </w:t>
      </w:r>
      <w:r w:rsidR="00332922" w:rsidRPr="00D64D74">
        <w:rPr>
          <w:rFonts w:ascii="Verdana" w:eastAsia="Calibri" w:hAnsi="Verdana" w:cs="Calibri"/>
          <w:sz w:val="32"/>
          <w:szCs w:val="32"/>
          <w:lang w:val="es"/>
        </w:rPr>
        <w:t>su inclusión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 xml:space="preserve"> en tabla, su lugar y los motivos para</w:t>
      </w:r>
      <w:r w:rsidR="00BD5550">
        <w:rPr>
          <w:rFonts w:ascii="Verdana" w:eastAsia="Calibri" w:hAnsi="Verdana" w:cs="Calibri"/>
          <w:sz w:val="32"/>
          <w:szCs w:val="32"/>
          <w:lang w:val="es"/>
        </w:rPr>
        <w:t xml:space="preserve"> no haber procedido a su vista. E</w:t>
      </w:r>
      <w:r w:rsidR="00BD5550" w:rsidRPr="00D64D74">
        <w:rPr>
          <w:rFonts w:ascii="Verdana" w:eastAsia="Calibri" w:hAnsi="Verdana" w:cs="Calibri"/>
          <w:sz w:val="32"/>
          <w:szCs w:val="32"/>
          <w:lang w:val="es"/>
        </w:rPr>
        <w:t xml:space="preserve">vitando </w:t>
      </w:r>
      <w:r w:rsidR="00BD5550">
        <w:rPr>
          <w:rFonts w:ascii="Verdana" w:eastAsia="Calibri" w:hAnsi="Verdana" w:cs="Calibri"/>
          <w:sz w:val="32"/>
          <w:szCs w:val="32"/>
          <w:lang w:val="es"/>
        </w:rPr>
        <w:t xml:space="preserve">de esta manera 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>dilaciones innecesarias</w:t>
      </w:r>
      <w:r w:rsidR="00BD5550">
        <w:rPr>
          <w:rFonts w:ascii="Verdana" w:eastAsia="Calibri" w:hAnsi="Verdana" w:cs="Calibri"/>
          <w:sz w:val="32"/>
          <w:szCs w:val="32"/>
          <w:lang w:val="es"/>
        </w:rPr>
        <w:t xml:space="preserve"> y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 xml:space="preserve"> </w:t>
      </w:r>
      <w:r w:rsidR="00332922" w:rsidRPr="00D64D74">
        <w:rPr>
          <w:rFonts w:ascii="Verdana" w:eastAsia="Calibri" w:hAnsi="Verdana" w:cs="Calibri"/>
          <w:sz w:val="32"/>
          <w:szCs w:val="32"/>
          <w:lang w:val="es"/>
        </w:rPr>
        <w:t xml:space="preserve">promoviendo la integración extraordinaria </w:t>
      </w:r>
      <w:r w:rsidR="00BD5550">
        <w:rPr>
          <w:rFonts w:ascii="Verdana" w:eastAsia="Calibri" w:hAnsi="Verdana" w:cs="Calibri"/>
          <w:sz w:val="32"/>
          <w:szCs w:val="32"/>
          <w:lang w:val="es"/>
        </w:rPr>
        <w:t>de las salas con ministros</w:t>
      </w:r>
      <w:r w:rsidR="00332922" w:rsidRPr="00D64D74">
        <w:rPr>
          <w:rFonts w:ascii="Verdana" w:eastAsia="Calibri" w:hAnsi="Verdana" w:cs="Calibri"/>
          <w:sz w:val="32"/>
          <w:szCs w:val="32"/>
          <w:lang w:val="es"/>
        </w:rPr>
        <w:t xml:space="preserve"> de la</w:t>
      </w:r>
      <w:r>
        <w:rPr>
          <w:rFonts w:ascii="Verdana" w:eastAsia="Calibri" w:hAnsi="Verdana" w:cs="Calibri"/>
          <w:sz w:val="32"/>
          <w:szCs w:val="32"/>
          <w:lang w:val="es"/>
        </w:rPr>
        <w:t>s</w:t>
      </w:r>
      <w:r w:rsidR="00332922" w:rsidRPr="00D64D74">
        <w:rPr>
          <w:rFonts w:ascii="Verdana" w:eastAsia="Calibri" w:hAnsi="Verdana" w:cs="Calibri"/>
          <w:sz w:val="32"/>
          <w:szCs w:val="32"/>
          <w:lang w:val="es"/>
        </w:rPr>
        <w:t xml:space="preserve"> respectiva</w:t>
      </w:r>
      <w:r>
        <w:rPr>
          <w:rFonts w:ascii="Verdana" w:eastAsia="Calibri" w:hAnsi="Verdana" w:cs="Calibri"/>
          <w:sz w:val="32"/>
          <w:szCs w:val="32"/>
          <w:lang w:val="es"/>
        </w:rPr>
        <w:t>s</w:t>
      </w:r>
      <w:r w:rsidR="00332922" w:rsidRPr="00D64D74">
        <w:rPr>
          <w:rFonts w:ascii="Verdana" w:eastAsia="Calibri" w:hAnsi="Verdana" w:cs="Calibri"/>
          <w:sz w:val="32"/>
          <w:szCs w:val="32"/>
          <w:lang w:val="es"/>
        </w:rPr>
        <w:t xml:space="preserve"> Corte</w:t>
      </w:r>
      <w:r>
        <w:rPr>
          <w:rFonts w:ascii="Verdana" w:eastAsia="Calibri" w:hAnsi="Verdana" w:cs="Calibri"/>
          <w:sz w:val="32"/>
          <w:szCs w:val="32"/>
          <w:lang w:val="es"/>
        </w:rPr>
        <w:t>s</w:t>
      </w:r>
      <w:r w:rsidR="00967CAB" w:rsidRPr="00D64D74">
        <w:rPr>
          <w:rFonts w:ascii="Verdana" w:eastAsia="Calibri" w:hAnsi="Verdana" w:cs="Calibri"/>
          <w:sz w:val="32"/>
          <w:szCs w:val="32"/>
          <w:lang w:val="es"/>
        </w:rPr>
        <w:t>.</w:t>
      </w:r>
    </w:p>
    <w:p w:rsidR="000D62F7" w:rsidRPr="00D64D74" w:rsidRDefault="000D62F7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</w:p>
    <w:p w:rsidR="000D62F7" w:rsidRPr="00D64D74" w:rsidRDefault="00AD6F6A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  <w:r>
        <w:rPr>
          <w:rFonts w:ascii="Verdana" w:eastAsia="Calibri" w:hAnsi="Verdana" w:cs="Calibri"/>
          <w:sz w:val="32"/>
          <w:szCs w:val="32"/>
          <w:lang w:val="es"/>
        </w:rPr>
        <w:t>Un notable</w:t>
      </w:r>
      <w:r w:rsidR="000D62F7" w:rsidRPr="00D64D74">
        <w:rPr>
          <w:rFonts w:ascii="Verdana" w:eastAsia="Calibri" w:hAnsi="Verdana" w:cs="Calibri"/>
          <w:sz w:val="32"/>
          <w:szCs w:val="32"/>
          <w:lang w:val="es"/>
        </w:rPr>
        <w:t xml:space="preserve"> avance para la gestión de la información de las causas de este tipo lo constituye el nuevo sis</w:t>
      </w:r>
      <w:r>
        <w:rPr>
          <w:rFonts w:ascii="Verdana" w:eastAsia="Calibri" w:hAnsi="Verdana" w:cs="Calibri"/>
          <w:sz w:val="32"/>
          <w:szCs w:val="32"/>
          <w:lang w:val="es"/>
        </w:rPr>
        <w:t>tema informático de tramitación</w:t>
      </w:r>
      <w:r w:rsidR="00C63183">
        <w:rPr>
          <w:rFonts w:ascii="Verdana" w:eastAsia="Calibri" w:hAnsi="Verdana" w:cs="Calibri"/>
          <w:sz w:val="32"/>
          <w:szCs w:val="32"/>
          <w:lang w:val="es"/>
        </w:rPr>
        <w:t>,</w:t>
      </w:r>
      <w:r>
        <w:rPr>
          <w:rFonts w:ascii="Verdana" w:eastAsia="Calibri" w:hAnsi="Verdana" w:cs="Calibri"/>
          <w:sz w:val="32"/>
          <w:szCs w:val="32"/>
          <w:lang w:val="es"/>
        </w:rPr>
        <w:t xml:space="preserve"> que </w:t>
      </w:r>
      <w:r w:rsidR="000D62F7" w:rsidRPr="00D64D74">
        <w:rPr>
          <w:rFonts w:ascii="Verdana" w:eastAsia="Calibri" w:hAnsi="Verdana" w:cs="Calibri"/>
          <w:sz w:val="32"/>
          <w:szCs w:val="32"/>
          <w:lang w:val="es"/>
        </w:rPr>
        <w:t xml:space="preserve">permitirá generar reportes con los datos de los expedientes </w:t>
      </w:r>
      <w:r>
        <w:rPr>
          <w:rFonts w:ascii="Verdana" w:eastAsia="Calibri" w:hAnsi="Verdana" w:cs="Calibri"/>
          <w:sz w:val="32"/>
          <w:szCs w:val="32"/>
          <w:lang w:val="es"/>
        </w:rPr>
        <w:t xml:space="preserve">y la </w:t>
      </w:r>
      <w:r w:rsidR="000D62F7" w:rsidRPr="00D64D74">
        <w:rPr>
          <w:rFonts w:ascii="Verdana" w:eastAsia="Calibri" w:hAnsi="Verdana" w:cs="Calibri"/>
          <w:sz w:val="32"/>
          <w:szCs w:val="32"/>
          <w:lang w:val="es"/>
        </w:rPr>
        <w:t xml:space="preserve">interconexión con el sistema de tramitación de causas de las Cortes de Apelaciones y de la Corte Suprema. </w:t>
      </w:r>
      <w:r w:rsidR="00FF59CD">
        <w:rPr>
          <w:rFonts w:ascii="Verdana" w:eastAsia="Calibri" w:hAnsi="Verdana" w:cs="Calibri"/>
          <w:sz w:val="32"/>
          <w:szCs w:val="32"/>
          <w:lang w:val="es"/>
        </w:rPr>
        <w:t>Se espera que d</w:t>
      </w:r>
      <w:r w:rsidR="000D62F7" w:rsidRPr="00D64D74">
        <w:rPr>
          <w:rFonts w:ascii="Verdana" w:eastAsia="Calibri" w:hAnsi="Verdana" w:cs="Calibri"/>
          <w:sz w:val="32"/>
          <w:szCs w:val="32"/>
          <w:lang w:val="es"/>
        </w:rPr>
        <w:t xml:space="preserve">icho sistema </w:t>
      </w:r>
      <w:r w:rsidR="00FF59CD">
        <w:rPr>
          <w:rFonts w:ascii="Verdana" w:eastAsia="Calibri" w:hAnsi="Verdana" w:cs="Calibri"/>
          <w:sz w:val="32"/>
          <w:szCs w:val="32"/>
          <w:lang w:val="es"/>
        </w:rPr>
        <w:t xml:space="preserve">comience a ser </w:t>
      </w:r>
      <w:r w:rsidR="000D62F7" w:rsidRPr="00D64D74">
        <w:rPr>
          <w:rFonts w:ascii="Verdana" w:eastAsia="Calibri" w:hAnsi="Verdana" w:cs="Calibri"/>
          <w:sz w:val="32"/>
          <w:szCs w:val="32"/>
          <w:lang w:val="es"/>
        </w:rPr>
        <w:t xml:space="preserve">usado </w:t>
      </w:r>
      <w:r w:rsidR="00FF59CD">
        <w:rPr>
          <w:rFonts w:ascii="Verdana" w:eastAsia="Calibri" w:hAnsi="Verdana" w:cs="Calibri"/>
          <w:sz w:val="32"/>
          <w:szCs w:val="32"/>
          <w:lang w:val="es"/>
        </w:rPr>
        <w:t xml:space="preserve">en abril de este </w:t>
      </w:r>
      <w:r w:rsidR="000D62F7" w:rsidRPr="00D64D74">
        <w:rPr>
          <w:rFonts w:ascii="Verdana" w:eastAsia="Calibri" w:hAnsi="Verdana" w:cs="Calibri"/>
          <w:sz w:val="32"/>
          <w:szCs w:val="32"/>
          <w:lang w:val="es"/>
        </w:rPr>
        <w:t xml:space="preserve">año. </w:t>
      </w:r>
    </w:p>
    <w:p w:rsidR="00F966A6" w:rsidRPr="00D64D74" w:rsidRDefault="00F966A6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</w:p>
    <w:p w:rsidR="006877ED" w:rsidRDefault="00F966A6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En cuanto al trabajo jurisdiccional de la Corte Suprema referido a esta materia, la Segunda Sala Penal de este tribunal, durante el 2020 falló </w:t>
      </w:r>
      <w:r w:rsidR="00730D22">
        <w:rPr>
          <w:rFonts w:ascii="Verdana" w:eastAsia="Calibri" w:hAnsi="Verdana" w:cs="Calibri"/>
          <w:sz w:val="32"/>
          <w:szCs w:val="32"/>
          <w:lang w:val="es"/>
        </w:rPr>
        <w:t>41</w:t>
      </w:r>
      <w:r w:rsidRPr="00D64D74">
        <w:rPr>
          <w:rFonts w:ascii="Verdana" w:eastAsia="Calibri" w:hAnsi="Verdana" w:cs="Calibri"/>
          <w:sz w:val="32"/>
          <w:szCs w:val="32"/>
          <w:lang w:val="es"/>
        </w:rPr>
        <w:t xml:space="preserve"> causas en materia criminal y civil</w:t>
      </w:r>
      <w:r w:rsidR="006877ED" w:rsidRPr="00D64D74">
        <w:rPr>
          <w:rFonts w:ascii="Verdana" w:eastAsia="Calibri" w:hAnsi="Verdana" w:cs="Calibri"/>
          <w:sz w:val="32"/>
          <w:szCs w:val="32"/>
          <w:lang w:val="es"/>
        </w:rPr>
        <w:t>.</w:t>
      </w:r>
    </w:p>
    <w:p w:rsidR="00FE56EB" w:rsidRPr="00D64D74" w:rsidRDefault="00FE56EB" w:rsidP="006132C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Calibri" w:hAnsi="Verdana" w:cs="Calibri"/>
          <w:sz w:val="32"/>
          <w:szCs w:val="32"/>
          <w:lang w:val="es"/>
        </w:rPr>
      </w:pPr>
    </w:p>
    <w:p w:rsidR="007A04E2" w:rsidRPr="00D64D74" w:rsidRDefault="002C2CA3" w:rsidP="006132CA">
      <w:pPr>
        <w:pStyle w:val="Ttulo2"/>
        <w:spacing w:before="0" w:after="0" w:line="360" w:lineRule="auto"/>
      </w:pPr>
      <w:bookmarkStart w:id="12" w:name="_Toc65244168"/>
      <w:r w:rsidRPr="00D64D74">
        <w:t>Estallido social y restricciones de movilidad por la pandemia</w:t>
      </w:r>
      <w:bookmarkEnd w:id="12"/>
    </w:p>
    <w:p w:rsidR="007E1BF2" w:rsidRPr="00D64D74" w:rsidRDefault="007E1BF2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641D56" w:rsidRDefault="002B48C4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En la cuenta pública del año pasado, tuve la oportunidad de aludir al complejo y a la vez histórico momento social iniciado desde octubre de 2019, lamentando las pérdidas humanas y la afectación de la integridad física de personas, mostrando nuestra preocupación por la enorme tensión entre quienes participan de las manifestaciones sociales y los agentes del Estado a cargo de la seguridad de la </w:t>
      </w:r>
      <w:r w:rsidR="00641D56">
        <w:rPr>
          <w:rFonts w:ascii="Verdana" w:eastAsia="Verdana" w:hAnsi="Verdana" w:cs="Verdana"/>
          <w:sz w:val="32"/>
          <w:szCs w:val="32"/>
          <w:lang w:val="es-CL"/>
        </w:rPr>
        <w:t xml:space="preserve">población. 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</w:p>
    <w:p w:rsidR="00641D56" w:rsidRDefault="00641D56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2F43E5" w:rsidRPr="00D64D74" w:rsidRDefault="00641D56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>En esta oportunidad m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antengo mis aseveraciones: el Poder Judicial </w:t>
      </w:r>
      <w:r w:rsidR="00C97BBE">
        <w:rPr>
          <w:rFonts w:ascii="Verdana" w:eastAsia="Verdana" w:hAnsi="Verdana" w:cs="Verdana"/>
          <w:sz w:val="32"/>
          <w:szCs w:val="32"/>
          <w:lang w:val="es-CL"/>
        </w:rPr>
        <w:t xml:space="preserve">otorga garantías de protección de 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>los derechos de las personas de manera independiente</w:t>
      </w:r>
      <w:r w:rsidR="00C97BBE">
        <w:rPr>
          <w:rFonts w:ascii="Verdana" w:eastAsia="Verdana" w:hAnsi="Verdana" w:cs="Verdana"/>
          <w:sz w:val="32"/>
          <w:szCs w:val="32"/>
          <w:lang w:val="es-CL"/>
        </w:rPr>
        <w:t xml:space="preserve"> frente a todo tipo de violencia y abuso de poder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de </w:t>
      </w:r>
      <w:r w:rsidR="00F006DC" w:rsidRPr="00D64D74">
        <w:rPr>
          <w:rFonts w:ascii="Verdana" w:eastAsia="Verdana" w:hAnsi="Verdana" w:cs="Verdana"/>
          <w:sz w:val="32"/>
          <w:szCs w:val="32"/>
          <w:lang w:val="es-CL"/>
        </w:rPr>
        <w:t>forma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continua y con pleno apego al debido proceso</w:t>
      </w:r>
      <w:r w:rsidR="00F006DC" w:rsidRPr="00D64D74">
        <w:rPr>
          <w:rFonts w:ascii="Verdana" w:eastAsia="Verdana" w:hAnsi="Verdana" w:cs="Verdana"/>
          <w:sz w:val="32"/>
          <w:szCs w:val="32"/>
          <w:lang w:val="es-CL"/>
        </w:rPr>
        <w:t>. A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>sí lo hemos hecho y lo cont</w:t>
      </w:r>
      <w:r w:rsidR="00D9148B" w:rsidRPr="00D64D74">
        <w:rPr>
          <w:rFonts w:ascii="Verdana" w:eastAsia="Verdana" w:hAnsi="Verdana" w:cs="Verdana"/>
          <w:sz w:val="32"/>
          <w:szCs w:val="32"/>
          <w:lang w:val="es-CL"/>
        </w:rPr>
        <w:t>inuaremos</w:t>
      </w:r>
      <w:r w:rsidR="002F43E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haciendo</w:t>
      </w:r>
      <w:r w:rsidR="00D9148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31437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recogiendo y entregando oportunamente la información pertinente </w:t>
      </w:r>
      <w:r w:rsidR="007F323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a los organismos encargados de </w:t>
      </w:r>
      <w:r w:rsidR="00F006DC"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</w:t>
      </w:r>
      <w:r w:rsidR="007F323B" w:rsidRPr="00D64D74">
        <w:rPr>
          <w:rFonts w:ascii="Verdana" w:eastAsia="Verdana" w:hAnsi="Verdana" w:cs="Verdana"/>
          <w:sz w:val="32"/>
          <w:szCs w:val="32"/>
          <w:lang w:val="es-CL"/>
        </w:rPr>
        <w:t>observancia de los derechos humanos.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AA5DD7" w:rsidRPr="00D64D74" w:rsidRDefault="002F43E5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ab/>
        <w:t>Tal c</w:t>
      </w:r>
      <w:r w:rsidR="007F323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ompromiso se ha </w:t>
      </w:r>
      <w:r w:rsidR="0084010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evidenciado, además, con la </w:t>
      </w:r>
      <w:r w:rsidR="007F323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</w:t>
      </w:r>
      <w:r w:rsidR="0084010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forma en que los tribunales han actuado frente a </w:t>
      </w:r>
      <w:r w:rsidR="007F323B" w:rsidRPr="00D64D74">
        <w:rPr>
          <w:rFonts w:ascii="Verdana" w:eastAsia="Verdana" w:hAnsi="Verdana" w:cs="Verdana"/>
          <w:sz w:val="32"/>
          <w:szCs w:val="32"/>
          <w:lang w:val="es-CL"/>
        </w:rPr>
        <w:t>la irrupción de</w:t>
      </w:r>
      <w:r w:rsidR="00F006DC" w:rsidRPr="00D64D74">
        <w:rPr>
          <w:rFonts w:ascii="Verdana" w:eastAsia="Verdana" w:hAnsi="Verdana" w:cs="Verdana"/>
          <w:sz w:val="32"/>
          <w:szCs w:val="32"/>
          <w:lang w:val="es-CL"/>
        </w:rPr>
        <w:t>l</w:t>
      </w:r>
      <w:r w:rsidR="007F323B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coronavirus y l</w:t>
      </w:r>
      <w:r w:rsidR="00AA5DD7" w:rsidRPr="00D64D74">
        <w:rPr>
          <w:rFonts w:ascii="Verdana" w:eastAsia="Verdana" w:hAnsi="Verdana" w:cs="Verdana"/>
          <w:sz w:val="32"/>
          <w:szCs w:val="32"/>
          <w:lang w:val="es-CL"/>
        </w:rPr>
        <w:t>a instauración de un extenso período de excepción constitucional.</w:t>
      </w:r>
    </w:p>
    <w:p w:rsidR="00FE56EB" w:rsidRPr="00D64D74" w:rsidRDefault="00FE56EB" w:rsidP="006132CA">
      <w:pPr>
        <w:spacing w:line="360" w:lineRule="auto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967CAB" w:rsidRPr="00D64D74" w:rsidRDefault="007A04E2" w:rsidP="006132CA">
      <w:pPr>
        <w:pStyle w:val="Ttulo2"/>
        <w:spacing w:before="0" w:after="0" w:line="360" w:lineRule="auto"/>
      </w:pPr>
      <w:bookmarkStart w:id="13" w:name="_Toc65244169"/>
      <w:r w:rsidRPr="00D64D74">
        <w:t>Compromiso con grupos vulnerables</w:t>
      </w:r>
      <w:bookmarkEnd w:id="13"/>
    </w:p>
    <w:p w:rsidR="007E1BF2" w:rsidRPr="00D64D74" w:rsidRDefault="007E1BF2" w:rsidP="006132CA">
      <w:pPr>
        <w:spacing w:line="360" w:lineRule="auto"/>
        <w:ind w:firstLine="720"/>
        <w:jc w:val="both"/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</w:pPr>
    </w:p>
    <w:p w:rsidR="00433306" w:rsidRPr="00D64D74" w:rsidRDefault="001E6557" w:rsidP="006132CA">
      <w:pPr>
        <w:spacing w:line="360" w:lineRule="auto"/>
        <w:ind w:firstLine="720"/>
        <w:jc w:val="both"/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Otra preocupación creciente del Poder Judici</w:t>
      </w:r>
      <w:r w:rsidR="00D308A0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al</w:t>
      </w:r>
      <w:r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ha sido el emprendimiento de acciones específicas destinadas </w:t>
      </w:r>
      <w:r w:rsidR="007E1BF2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a 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garantizar la igualdad </w:t>
      </w:r>
      <w:r w:rsidR="00433306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en el acceso a la justicia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</w:t>
      </w:r>
      <w:r w:rsidR="00433306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y a promover los </w:t>
      </w:r>
      <w:r w:rsidR="007D6FE9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D</w:t>
      </w:r>
      <w:r w:rsidR="007D6FE9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erechos </w:t>
      </w:r>
      <w:r w:rsidR="007D6FE9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H</w:t>
      </w:r>
      <w:r w:rsidR="00433306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umanos de aquellos sectores de la población que se encuentran en situaciones desaventajadas.</w:t>
      </w:r>
    </w:p>
    <w:p w:rsidR="007E1BF2" w:rsidRPr="00D64D74" w:rsidRDefault="007E1BF2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 w:eastAsia="en-US"/>
        </w:rPr>
      </w:pPr>
    </w:p>
    <w:p w:rsidR="0022691B" w:rsidRPr="00D64D74" w:rsidRDefault="00CF683D" w:rsidP="006132CA">
      <w:pPr>
        <w:spacing w:line="360" w:lineRule="auto"/>
        <w:ind w:firstLine="720"/>
        <w:jc w:val="both"/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En este sentido, </w:t>
      </w:r>
      <w:r w:rsidR="007F323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cabe </w:t>
      </w:r>
      <w:r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destacar </w:t>
      </w:r>
      <w:r w:rsidR="001E6557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la labor que </w:t>
      </w:r>
      <w:r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ha desempeñado 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la </w:t>
      </w:r>
      <w:r w:rsidR="00967CAB" w:rsidRPr="00C63183">
        <w:rPr>
          <w:rFonts w:ascii="Verdana" w:eastAsia="Calibri" w:hAnsi="Verdana" w:cs="Calibri"/>
          <w:b/>
          <w:color w:val="000000"/>
          <w:sz w:val="32"/>
          <w:szCs w:val="32"/>
          <w:lang w:val="es-CL" w:eastAsia="en-US"/>
        </w:rPr>
        <w:t>Secretaría Técnica de Igualdad de Género y No Discriminación</w:t>
      </w:r>
      <w:r w:rsidR="003F4D4A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</w:t>
      </w:r>
      <w:r w:rsidR="00890C7A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de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la Corte Suprema el año</w:t>
      </w:r>
      <w:r w:rsidR="001E6557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pasado. 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Gracias a su</w:t>
      </w:r>
      <w:r w:rsidR="001E6557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impulso, </w:t>
      </w:r>
      <w:r w:rsidR="007F323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se</w:t>
      </w:r>
      <w:r w:rsidR="001E6557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ha</w:t>
      </w:r>
      <w:r w:rsidR="007F323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n</w:t>
      </w:r>
      <w:r w:rsidR="001E6557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propiciado </w:t>
      </w:r>
      <w:r w:rsidR="00D308A0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diversas 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iniciativas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</w:t>
      </w:r>
      <w:r w:rsidR="00D308A0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acordes a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los ejes estratégicos de la Política de Igualdad de Género y No Discriminación</w:t>
      </w:r>
      <w:r w:rsidR="007F323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, 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como la violencia de género, el acos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o sexual y la aplicación de la l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ey </w:t>
      </w:r>
      <w:r w:rsidR="00D308A0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de 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identidad de género. </w:t>
      </w:r>
    </w:p>
    <w:p w:rsidR="007E1BF2" w:rsidRPr="00D64D74" w:rsidRDefault="007E1BF2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 w:eastAsia="en-US"/>
        </w:rPr>
      </w:pPr>
    </w:p>
    <w:p w:rsidR="00D2562E" w:rsidRPr="00D64D74" w:rsidRDefault="00CF683D" w:rsidP="006132CA">
      <w:pPr>
        <w:spacing w:line="360" w:lineRule="auto"/>
        <w:ind w:firstLine="708"/>
        <w:contextualSpacing/>
        <w:jc w:val="both"/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Asimismo, </w:t>
      </w:r>
      <w:r w:rsidR="00D308A0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cabe 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mencionar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la constitución del Consejo Consultivo Asesor </w:t>
      </w:r>
      <w:r w:rsidR="00DB591B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>a nivel nacional y de los Comités de Género en</w:t>
      </w:r>
      <w:r w:rsidR="00967CAB" w:rsidRPr="00D64D74">
        <w:rPr>
          <w:rFonts w:ascii="Verdana" w:eastAsia="Calibri" w:hAnsi="Verdana" w:cs="Calibri"/>
          <w:color w:val="000000"/>
          <w:sz w:val="32"/>
          <w:szCs w:val="32"/>
          <w:lang w:val="es-CL" w:eastAsia="en-US"/>
        </w:rPr>
        <w:t xml:space="preserve"> cada una de las Cortes de Apelaciones del país. </w:t>
      </w:r>
    </w:p>
    <w:p w:rsidR="007E1BF2" w:rsidRPr="00D64D74" w:rsidRDefault="007E1BF2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890C7A" w:rsidRPr="00D64D74" w:rsidRDefault="00D308A0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>Por otro lado</w:t>
      </w:r>
      <w:r w:rsidR="00CF683D" w:rsidRPr="00D64D74">
        <w:rPr>
          <w:rFonts w:ascii="Verdana" w:eastAsia="Calibri" w:hAnsi="Verdana"/>
          <w:sz w:val="32"/>
          <w:szCs w:val="32"/>
          <w:lang w:val="es-MX" w:eastAsia="en-US"/>
        </w:rPr>
        <w:t>,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>e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 Poder Judicial se ha hecho parte del 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>proceso de cambios estructurales en la manera en que el Estado de Chile se relaciona con los niños, niñas y adolescentes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,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desarrollando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una 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>serie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de acciones 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>que ha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tenido como correlato más importante la </w:t>
      </w:r>
      <w:r w:rsidR="009A53DE" w:rsidRPr="00D64D74">
        <w:rPr>
          <w:rFonts w:ascii="Verdana" w:eastAsia="Calibri" w:hAnsi="Verdana"/>
          <w:sz w:val="32"/>
          <w:szCs w:val="32"/>
          <w:lang w:val="es-MX" w:eastAsia="en-US"/>
        </w:rPr>
        <w:t>aprobación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>,</w:t>
      </w:r>
      <w:r w:rsidR="009A53DE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>en diciembre del año pasado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>,</w:t>
      </w:r>
      <w:r w:rsidR="00890C7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de la </w:t>
      </w:r>
      <w:r w:rsidR="00967CAB" w:rsidRPr="00D64D74">
        <w:rPr>
          <w:rFonts w:ascii="Verdana" w:eastAsia="Calibri" w:hAnsi="Verdana"/>
          <w:b/>
          <w:sz w:val="32"/>
          <w:szCs w:val="32"/>
          <w:lang w:val="es-MX" w:eastAsia="en-US"/>
        </w:rPr>
        <w:t>Política de Efectivización de Derechos de Niños, Niñas y Adolescentes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. </w:t>
      </w:r>
    </w:p>
    <w:p w:rsidR="007E1BF2" w:rsidRPr="00D64D74" w:rsidRDefault="007E1BF2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967CAB" w:rsidRPr="00D64D74" w:rsidRDefault="007F323B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>En los hechos, esto s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ignifica que 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>ratificamos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>nuestro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compromiso con la infancia y la plena vigencia de </w:t>
      </w:r>
      <w:r w:rsidR="002023F3" w:rsidRPr="00D64D74">
        <w:rPr>
          <w:rFonts w:ascii="Verdana" w:eastAsia="Calibri" w:hAnsi="Verdana"/>
          <w:sz w:val="32"/>
          <w:szCs w:val="32"/>
          <w:lang w:val="es-MX" w:eastAsia="en-US"/>
        </w:rPr>
        <w:t>l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>a Con</w:t>
      </w:r>
      <w:r w:rsidR="00A2460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vención sobre 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 xml:space="preserve">los </w:t>
      </w:r>
      <w:r w:rsidR="00A24605" w:rsidRPr="00D64D74">
        <w:rPr>
          <w:rFonts w:ascii="Verdana" w:eastAsia="Calibri" w:hAnsi="Verdana"/>
          <w:sz w:val="32"/>
          <w:szCs w:val="32"/>
          <w:lang w:val="es-MX" w:eastAsia="en-US"/>
        </w:rPr>
        <w:t>Derechos del Niño. Lo que se plasma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en directrices, planes y programas específicos que tienen como horizonte reafirmar el </w:t>
      </w:r>
      <w:r w:rsidR="00A24605" w:rsidRPr="00D64D74">
        <w:rPr>
          <w:rFonts w:ascii="Verdana" w:eastAsia="Calibri" w:hAnsi="Verdana"/>
          <w:sz w:val="32"/>
          <w:szCs w:val="32"/>
          <w:lang w:val="es-MX" w:eastAsia="en-US"/>
        </w:rPr>
        <w:t>i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>nterés superior del niño, niña y adolescente y el principio de igualdad y no discriminación, que busca</w:t>
      </w:r>
      <w:r w:rsidR="00A24605" w:rsidRPr="00D64D74">
        <w:rPr>
          <w:rFonts w:ascii="Verdana" w:eastAsia="Calibri" w:hAnsi="Verdana"/>
          <w:sz w:val="32"/>
          <w:szCs w:val="32"/>
          <w:lang w:val="es-MX" w:eastAsia="en-US"/>
        </w:rPr>
        <w:t>n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cambiar los estándares de acceso a la justicia para 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>este grupo</w:t>
      </w:r>
      <w:r w:rsidR="002023F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t</w:t>
      </w:r>
      <w:r w:rsidR="00DB591B">
        <w:rPr>
          <w:rFonts w:ascii="Verdana" w:eastAsia="Calibri" w:hAnsi="Verdana"/>
          <w:sz w:val="32"/>
          <w:szCs w:val="32"/>
          <w:lang w:val="es-MX" w:eastAsia="en-US"/>
        </w:rPr>
        <w:t>an trascendente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de la población. </w:t>
      </w:r>
    </w:p>
    <w:p w:rsidR="006877ED" w:rsidRPr="00D64D74" w:rsidRDefault="006877ED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</w:p>
    <w:p w:rsidR="00967CAB" w:rsidRPr="00D64D74" w:rsidRDefault="002056F5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>
        <w:rPr>
          <w:rFonts w:ascii="Verdana" w:eastAsia="Calibri" w:hAnsi="Verdana"/>
          <w:sz w:val="32"/>
          <w:szCs w:val="32"/>
          <w:lang w:val="es-MX" w:eastAsia="en-US"/>
        </w:rPr>
        <w:t>E</w:t>
      </w:r>
      <w:r w:rsidR="00370758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sta política </w:t>
      </w:r>
      <w:r>
        <w:rPr>
          <w:rFonts w:ascii="Verdana" w:eastAsia="Calibri" w:hAnsi="Verdana"/>
          <w:sz w:val="32"/>
          <w:szCs w:val="32"/>
          <w:lang w:val="es-MX" w:eastAsia="en-US"/>
        </w:rPr>
        <w:t xml:space="preserve">se empezó a diseñar 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a partir </w:t>
      </w:r>
      <w:r>
        <w:rPr>
          <w:rFonts w:ascii="Verdana" w:eastAsia="Calibri" w:hAnsi="Verdana"/>
          <w:sz w:val="32"/>
          <w:szCs w:val="32"/>
          <w:lang w:val="es-MX" w:eastAsia="en-US"/>
        </w:rPr>
        <w:t>del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año 2018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A2460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con 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>e</w:t>
      </w:r>
      <w:r w:rsidR="002023F3" w:rsidRPr="00D64D74">
        <w:rPr>
          <w:rFonts w:ascii="Verdana" w:eastAsia="Calibri" w:hAnsi="Verdana"/>
          <w:sz w:val="32"/>
          <w:szCs w:val="32"/>
          <w:lang w:val="es-MX" w:eastAsia="en-US"/>
        </w:rPr>
        <w:t>l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Grupo de Trabajo de Infancia del Poder Judicial, instancia en la que participan representantes de los estamentos y de las asociaciones gremiales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. </w:t>
      </w:r>
      <w:r w:rsidR="00370758" w:rsidRPr="00D64D74">
        <w:rPr>
          <w:rFonts w:ascii="Verdana" w:eastAsia="Calibri" w:hAnsi="Verdana"/>
          <w:sz w:val="32"/>
          <w:szCs w:val="32"/>
          <w:lang w:val="es-MX" w:eastAsia="en-US"/>
        </w:rPr>
        <w:t>E</w:t>
      </w:r>
      <w:r w:rsidR="00D43F8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ste grupo 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elaboró un diagnóstico y lideró un proceso colaborativo 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con 496 integrantes </w:t>
      </w:r>
      <w:r w:rsidR="00967CA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 los distintos juzgados con competencia en familia y penal de todas las jurisdicciones del país. </w:t>
      </w:r>
    </w:p>
    <w:p w:rsidR="00967CAB" w:rsidRPr="00D64D74" w:rsidRDefault="00967CA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967CAB" w:rsidRPr="00D64D74" w:rsidRDefault="00967CAB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También </w:t>
      </w:r>
      <w:r w:rsidR="00437C3E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fueron parte </w:t>
      </w:r>
      <w:r w:rsidR="002023F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esencial </w:t>
      </w:r>
      <w:r w:rsidR="00437C3E" w:rsidRPr="00D64D74">
        <w:rPr>
          <w:rFonts w:ascii="Verdana" w:eastAsia="Calibri" w:hAnsi="Verdana"/>
          <w:sz w:val="32"/>
          <w:szCs w:val="32"/>
          <w:lang w:val="es-MX" w:eastAsia="en-US"/>
        </w:rPr>
        <w:t>de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este proceso colaborativo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niños, niñas y adolescentes que se encuentran con medidas de internación en centros residenciales y adolescentes 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>sancionados bajo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la Ley de Responsabilidad Penal Adolescente. A ellos se les invitó a que participaran expresando c</w:t>
      </w:r>
      <w:r w:rsidR="00370758" w:rsidRPr="00D64D74">
        <w:rPr>
          <w:rFonts w:ascii="Verdana" w:eastAsia="Calibri" w:hAnsi="Verdana"/>
          <w:sz w:val="32"/>
          <w:szCs w:val="32"/>
          <w:lang w:val="es-MX" w:eastAsia="en-US"/>
        </w:rPr>
        <w:t>ó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mo imaginaban el tribunal ideal.</w:t>
      </w:r>
    </w:p>
    <w:p w:rsidR="002219D3" w:rsidRPr="00D64D74" w:rsidRDefault="002219D3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</w:p>
    <w:p w:rsidR="00967CAB" w:rsidRPr="00D64D74" w:rsidRDefault="00967CAB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Quisiera reconocer el trabajo de la Ministra Sra. Rosa María Maggi, quien 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>ha liderado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este proceso.</w:t>
      </w:r>
    </w:p>
    <w:p w:rsidR="00967CAB" w:rsidRPr="00D64D74" w:rsidRDefault="00967CA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967CAB" w:rsidRPr="00D64D74" w:rsidRDefault="00967CAB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>Sin duda queda mucho trabajo por hacer, pero confío en que tanto el Servicio Nacional de Protección Especializada a la Niñez y Adolescencia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>,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así como 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>nuestra política</w:t>
      </w:r>
      <w:r w:rsidR="00437C3E" w:rsidRPr="00D64D74">
        <w:rPr>
          <w:rFonts w:ascii="Verdana" w:eastAsia="Calibri" w:hAnsi="Verdana"/>
          <w:sz w:val="32"/>
          <w:szCs w:val="32"/>
          <w:lang w:val="es-MX" w:eastAsia="en-US"/>
        </w:rPr>
        <w:t>,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serán instrumentos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 cambio 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>para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que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los niños, niñas y adolescente</w:t>
      </w:r>
      <w:r w:rsidR="002056F5">
        <w:rPr>
          <w:rFonts w:ascii="Verdana" w:eastAsia="Calibri" w:hAnsi="Verdana"/>
          <w:sz w:val="32"/>
          <w:szCs w:val="32"/>
          <w:lang w:val="es-MX" w:eastAsia="en-US"/>
        </w:rPr>
        <w:t>s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DC4C96" w:rsidRPr="00D64D74">
        <w:rPr>
          <w:rFonts w:ascii="Verdana" w:eastAsia="Calibri" w:hAnsi="Verdana"/>
          <w:sz w:val="32"/>
          <w:szCs w:val="32"/>
          <w:lang w:val="es-MX" w:eastAsia="en-US"/>
        </w:rPr>
        <w:t>cuenten con un</w:t>
      </w:r>
      <w:r w:rsidR="002056F5">
        <w:rPr>
          <w:rFonts w:ascii="Verdana" w:eastAsia="Calibri" w:hAnsi="Verdana"/>
          <w:sz w:val="32"/>
          <w:szCs w:val="32"/>
          <w:lang w:val="es-MX" w:eastAsia="en-US"/>
        </w:rPr>
        <w:t xml:space="preserve"> E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stado garante de sus derechos</w:t>
      </w:r>
      <w:r w:rsidR="007F323B" w:rsidRPr="00D64D74">
        <w:rPr>
          <w:rFonts w:ascii="Verdana" w:eastAsia="Calibri" w:hAnsi="Verdana"/>
          <w:sz w:val="32"/>
          <w:szCs w:val="32"/>
          <w:lang w:val="es-MX" w:eastAsia="en-US"/>
        </w:rPr>
        <w:t>.</w:t>
      </w:r>
    </w:p>
    <w:p w:rsidR="002219D3" w:rsidRPr="00D64D74" w:rsidRDefault="002219D3" w:rsidP="006132CA">
      <w:pPr>
        <w:spacing w:line="360" w:lineRule="auto"/>
        <w:ind w:firstLine="708"/>
        <w:contextualSpacing/>
        <w:jc w:val="both"/>
        <w:rPr>
          <w:rFonts w:ascii="Verdana" w:eastAsia="Calibri" w:hAnsi="Verdana"/>
          <w:sz w:val="32"/>
          <w:szCs w:val="32"/>
          <w:lang w:val="es-MX" w:eastAsia="en-US"/>
        </w:rPr>
      </w:pPr>
    </w:p>
    <w:p w:rsidR="002219D3" w:rsidRPr="00D64D74" w:rsidRDefault="002056F5" w:rsidP="006132C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49" w:firstLine="708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Otro ejemplo de nuestra </w:t>
      </w:r>
      <w:r w:rsidR="002219D3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preocupación </w:t>
      </w:r>
      <w:r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por esta temática </w:t>
      </w:r>
      <w:r w:rsidR="002219D3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se plasma en que hemos </w:t>
      </w:r>
      <w:r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>asumido</w:t>
      </w:r>
      <w:r w:rsidR="002219D3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 la sensible problemática del ingreso irregular de niños, niñas y adolescentes migrantes a nuestro país, que requieren del apoyo de la red asistencial del sistema de infancia</w:t>
      </w:r>
      <w:r w:rsidR="00EF19AC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. Para esto la Corte Suprema ha creado </w:t>
      </w:r>
      <w:r w:rsidR="002219D3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 xml:space="preserve">mesas de trabajo internas e interinstitucionales, </w:t>
      </w:r>
      <w:r w:rsidR="00EF19AC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ES_tradnl" w:eastAsia="es-ES"/>
        </w:rPr>
        <w:t>que ya se encuentran funcionando.</w:t>
      </w:r>
    </w:p>
    <w:p w:rsidR="00EF19AC" w:rsidRPr="00D64D74" w:rsidRDefault="00EF19AC" w:rsidP="006132CA">
      <w:pPr>
        <w:spacing w:line="360" w:lineRule="auto"/>
        <w:ind w:firstLine="708"/>
        <w:contextualSpacing/>
        <w:jc w:val="both"/>
        <w:rPr>
          <w:rFonts w:ascii="Verdana" w:eastAsia="Verdana" w:hAnsi="Verdana" w:cs="Verdana"/>
          <w:b/>
          <w:sz w:val="32"/>
          <w:szCs w:val="32"/>
          <w:lang w:val="es-CL"/>
        </w:rPr>
      </w:pPr>
    </w:p>
    <w:p w:rsidR="00967CAB" w:rsidRPr="00D64D74" w:rsidRDefault="00FE56EB" w:rsidP="006132CA">
      <w:pPr>
        <w:pStyle w:val="Ttulo1"/>
        <w:spacing w:before="0" w:after="0" w:line="360" w:lineRule="auto"/>
      </w:pPr>
      <w:bookmarkStart w:id="14" w:name="_Toc65244170"/>
      <w:r>
        <w:t>TRABAJO</w:t>
      </w:r>
      <w:r w:rsidR="009F56EA" w:rsidRPr="00D64D74">
        <w:t xml:space="preserve"> INSTITUCIONAL</w:t>
      </w:r>
      <w:bookmarkEnd w:id="14"/>
      <w:r w:rsidR="009F56EA" w:rsidRPr="00D64D74">
        <w:t xml:space="preserve"> </w:t>
      </w:r>
    </w:p>
    <w:p w:rsidR="00EA01E5" w:rsidRPr="00D64D74" w:rsidRDefault="00EA01E5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967CAB" w:rsidRPr="00D64D74" w:rsidRDefault="00093AD9" w:rsidP="006132CA">
      <w:pPr>
        <w:pStyle w:val="Ttulo2"/>
        <w:numPr>
          <w:ilvl w:val="0"/>
          <w:numId w:val="10"/>
        </w:numPr>
        <w:spacing w:before="0" w:after="0" w:line="360" w:lineRule="auto"/>
      </w:pPr>
      <w:bookmarkStart w:id="15" w:name="_Toc65244171"/>
      <w:r w:rsidRPr="00D64D74">
        <w:t>Planificación estratégica 2021-2025</w:t>
      </w:r>
      <w:bookmarkEnd w:id="15"/>
    </w:p>
    <w:p w:rsidR="00437C3E" w:rsidRPr="00D64D74" w:rsidRDefault="00437C3E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BB58DD" w:rsidRPr="00D64D74" w:rsidRDefault="00734472" w:rsidP="006132CA">
      <w:pPr>
        <w:pStyle w:val="Sinespaciado"/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MX" w:eastAsia="en-US"/>
        </w:rPr>
      </w:pPr>
      <w:r w:rsidRPr="00D64D74">
        <w:rPr>
          <w:rFonts w:ascii="Verdana" w:hAnsi="Verdana"/>
          <w:sz w:val="32"/>
          <w:szCs w:val="32"/>
          <w:lang w:val="es-MX" w:eastAsia="en-US"/>
        </w:rPr>
        <w:t xml:space="preserve">Este año </w:t>
      </w:r>
      <w:r w:rsidR="00A6663B" w:rsidRPr="00D64D74">
        <w:rPr>
          <w:rFonts w:ascii="Verdana" w:hAnsi="Verdana"/>
          <w:sz w:val="32"/>
          <w:szCs w:val="32"/>
          <w:lang w:val="es-MX" w:eastAsia="en-US"/>
        </w:rPr>
        <w:t>dimos</w:t>
      </w:r>
      <w:r w:rsidRPr="00D64D74">
        <w:rPr>
          <w:rFonts w:ascii="Verdana" w:hAnsi="Verdana"/>
          <w:sz w:val="32"/>
          <w:szCs w:val="32"/>
          <w:lang w:val="es-MX" w:eastAsia="en-US"/>
        </w:rPr>
        <w:t xml:space="preserve"> inicio a la ejecución de la planificación estratégica que guiará el actuar de nuestra institución durante los </w:t>
      </w:r>
      <w:r w:rsidR="00A6663B" w:rsidRPr="00D64D74">
        <w:rPr>
          <w:rFonts w:ascii="Verdana" w:hAnsi="Verdana"/>
          <w:sz w:val="32"/>
          <w:szCs w:val="32"/>
          <w:lang w:val="es-MX" w:eastAsia="en-US"/>
        </w:rPr>
        <w:t>próximos cinco años</w:t>
      </w:r>
      <w:r w:rsidRPr="00D64D74">
        <w:rPr>
          <w:rFonts w:ascii="Verdana" w:hAnsi="Verdana"/>
          <w:sz w:val="32"/>
          <w:szCs w:val="32"/>
          <w:lang w:val="es-MX" w:eastAsia="en-US"/>
        </w:rPr>
        <w:t xml:space="preserve">. </w:t>
      </w:r>
    </w:p>
    <w:p w:rsidR="00A6663B" w:rsidRPr="00D64D74" w:rsidRDefault="00A6663B" w:rsidP="006132CA">
      <w:pPr>
        <w:pStyle w:val="Sinespaciado"/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MX" w:eastAsia="en-US"/>
        </w:rPr>
      </w:pPr>
    </w:p>
    <w:p w:rsidR="00A6663B" w:rsidRPr="00D64D74" w:rsidRDefault="00BD240F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>
        <w:rPr>
          <w:rFonts w:ascii="Verdana" w:eastAsia="Calibri" w:hAnsi="Verdana"/>
          <w:sz w:val="32"/>
          <w:szCs w:val="32"/>
          <w:lang w:val="es-MX" w:eastAsia="en-US"/>
        </w:rPr>
        <w:t>En su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“</w:t>
      </w:r>
      <w:r w:rsidR="00A6663B" w:rsidRPr="00D64D74">
        <w:rPr>
          <w:rFonts w:ascii="Verdana" w:eastAsia="Calibri" w:hAnsi="Verdana"/>
          <w:b/>
          <w:sz w:val="32"/>
          <w:szCs w:val="32"/>
          <w:lang w:val="es-MX" w:eastAsia="en-US"/>
        </w:rPr>
        <w:t>misión”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el nuevo plan</w:t>
      </w:r>
      <w:r w:rsidR="00A6663B" w:rsidRPr="00D64D74">
        <w:rPr>
          <w:rFonts w:ascii="Verdana" w:eastAsia="Calibri" w:hAnsi="Verdana"/>
          <w:b/>
          <w:sz w:val="32"/>
          <w:szCs w:val="32"/>
          <w:lang w:val="es-MX" w:eastAsia="en-US"/>
        </w:rPr>
        <w:t xml:space="preserve"> 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pone su acento en el apego al ordenamiento jurídico y el respeto de </w:t>
      </w:r>
      <w:r w:rsidR="000B16E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todos 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los derechos de las personas en la resolución de los asuntos sometidos al conocimiento de los tribunales, así como en </w:t>
      </w:r>
      <w:r w:rsidR="000B16E5" w:rsidRPr="00D64D74">
        <w:rPr>
          <w:rFonts w:ascii="Verdana" w:eastAsia="Calibri" w:hAnsi="Verdana"/>
          <w:sz w:val="32"/>
          <w:szCs w:val="32"/>
          <w:lang w:val="es-MX" w:eastAsia="en-US"/>
        </w:rPr>
        <w:t>el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acceso a la justicia</w:t>
      </w:r>
      <w:r w:rsidR="000B16E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y </w:t>
      </w:r>
      <w:r w:rsidR="000B16E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al fortalecimiento del estado de derecho, la democracia y </w:t>
      </w:r>
      <w:r w:rsidR="00A6663B" w:rsidRPr="00D64D74">
        <w:rPr>
          <w:rFonts w:ascii="Verdana" w:eastAsia="Calibri" w:hAnsi="Verdana"/>
          <w:sz w:val="32"/>
          <w:szCs w:val="32"/>
          <w:lang w:val="es-MX" w:eastAsia="en-US"/>
        </w:rPr>
        <w:t>la paz social.</w:t>
      </w:r>
    </w:p>
    <w:p w:rsidR="00A6663B" w:rsidRPr="00D64D74" w:rsidRDefault="00A6663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A6663B" w:rsidRPr="00D64D74" w:rsidRDefault="00A6663B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>A ella se agrega una “</w:t>
      </w:r>
      <w:r w:rsidRPr="00D64D74">
        <w:rPr>
          <w:rFonts w:ascii="Verdana" w:eastAsia="Calibri" w:hAnsi="Verdana"/>
          <w:b/>
          <w:sz w:val="32"/>
          <w:szCs w:val="32"/>
          <w:lang w:val="es-MX" w:eastAsia="en-US"/>
        </w:rPr>
        <w:t>visión”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que aspira a la modernidad e independencia institucional, así como a la comprensión, oportunidad y transparencia de sus decisiones y a su capacidad para proponer cambios para una mejor justicia</w:t>
      </w:r>
      <w:r w:rsidR="000B16E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y el bien común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.</w:t>
      </w:r>
    </w:p>
    <w:p w:rsidR="00A6663B" w:rsidRPr="00D64D74" w:rsidRDefault="00A6663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A6663B" w:rsidRPr="00D64D74" w:rsidRDefault="00A6663B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El nuevo Plan Estratégico también contiene una serie de </w:t>
      </w:r>
      <w:r w:rsidRPr="00D64D74">
        <w:rPr>
          <w:rFonts w:ascii="Verdana" w:eastAsia="Calibri" w:hAnsi="Verdana"/>
          <w:b/>
          <w:sz w:val="32"/>
          <w:szCs w:val="32"/>
          <w:lang w:val="es-MX" w:eastAsia="en-US"/>
        </w:rPr>
        <w:t>valores institucionales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que pretenden orientar nuestras acciones. Entre ellos, se destacan la excelencia, la imparcialidad, la independencia, la probidad, el respeto y buen trato, la responsabilidad, la transparencia y la vocación de servicio.</w:t>
      </w:r>
    </w:p>
    <w:p w:rsidR="00A6663B" w:rsidRPr="00D64D74" w:rsidRDefault="00A6663B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</w:p>
    <w:p w:rsidR="00A6663B" w:rsidRPr="00D64D74" w:rsidRDefault="00A6663B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En concreto, estas aspiraciones se traducen en </w:t>
      </w:r>
      <w:r w:rsidRPr="00D64D74">
        <w:rPr>
          <w:rFonts w:ascii="Verdana" w:eastAsia="Calibri" w:hAnsi="Verdana"/>
          <w:b/>
          <w:sz w:val="32"/>
          <w:szCs w:val="32"/>
          <w:lang w:val="es-MX" w:eastAsia="en-US"/>
        </w:rPr>
        <w:t>4 ejes estratégicos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que ordenarán los proyectos y programas a desarrollarse en el próximo quinquenio: el impacto en la sociedad,</w:t>
      </w:r>
      <w:r w:rsidR="00890E2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la gestión de personas,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la modernización </w:t>
      </w:r>
      <w:r w:rsidR="00890E2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institucional y las </w:t>
      </w:r>
      <w:r w:rsidRPr="00D64D74">
        <w:rPr>
          <w:rFonts w:ascii="Verdana" w:eastAsia="Calibri" w:hAnsi="Verdana"/>
          <w:b/>
          <w:sz w:val="32"/>
          <w:szCs w:val="32"/>
          <w:lang w:val="es-MX" w:eastAsia="en-US"/>
        </w:rPr>
        <w:t>relaciones interinstitucionales</w:t>
      </w:r>
      <w:r w:rsidR="00890E23" w:rsidRPr="00D64D74">
        <w:rPr>
          <w:rFonts w:ascii="Verdana" w:eastAsia="Calibri" w:hAnsi="Verdana"/>
          <w:sz w:val="32"/>
          <w:szCs w:val="32"/>
          <w:lang w:val="es-MX" w:eastAsia="en-US"/>
        </w:rPr>
        <w:t>. Este último, que representa una novedad respecto del plan anterior, está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destinado a producir vínculos entre entidades promotoras de un mejor funcionamiento del sistema de justicia.</w:t>
      </w:r>
    </w:p>
    <w:p w:rsidR="00A6663B" w:rsidRPr="00D64D74" w:rsidRDefault="00A6663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BC6FD2" w:rsidRPr="00D64D74" w:rsidRDefault="00BC6FD2" w:rsidP="006132CA">
      <w:pPr>
        <w:pStyle w:val="Ttulo2"/>
        <w:spacing w:before="0" w:after="0" w:line="360" w:lineRule="auto"/>
      </w:pPr>
      <w:bookmarkStart w:id="16" w:name="_Toc65244172"/>
      <w:r w:rsidRPr="00D64D74">
        <w:t>Trabajo no jurisdiccional</w:t>
      </w:r>
      <w:bookmarkEnd w:id="16"/>
      <w:r w:rsidR="00093AD9" w:rsidRPr="00D64D74">
        <w:t xml:space="preserve"> </w:t>
      </w:r>
    </w:p>
    <w:p w:rsidR="00BB58DD" w:rsidRPr="00D64D74" w:rsidRDefault="00BB58DD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D56BEF" w:rsidRPr="00D64D74" w:rsidRDefault="00D56BEF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El quehacer de la Corte Suprema, como cabeza del Poder Judicial chileno, no se limita a lo jurisdiccional. Si bien el núcleo de la labor que realizamos es la resolución de conflictos, existe una importante dimensión de nuestro mandato </w:t>
      </w:r>
      <w:r w:rsidR="006238F5" w:rsidRPr="00D64D74">
        <w:rPr>
          <w:rFonts w:ascii="Verdana" w:eastAsia="Calibri" w:hAnsi="Verdana"/>
          <w:sz w:val="32"/>
          <w:szCs w:val="32"/>
          <w:lang w:val="es-MX" w:eastAsia="en-US"/>
        </w:rPr>
        <w:t>institucional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que trasciende este rol.</w:t>
      </w:r>
      <w:r w:rsidR="006238F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4115D4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Para </w:t>
      </w:r>
      <w:r w:rsidR="00C93A9C" w:rsidRPr="00D64D74">
        <w:rPr>
          <w:rFonts w:ascii="Verdana" w:eastAsia="Calibri" w:hAnsi="Verdana"/>
          <w:sz w:val="32"/>
          <w:szCs w:val="32"/>
          <w:lang w:val="es-MX" w:eastAsia="en-US"/>
        </w:rPr>
        <w:t>este cometido</w:t>
      </w:r>
      <w:r w:rsidR="006238F5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, </w:t>
      </w:r>
      <w:r w:rsidR="004115D4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cuenta con </w:t>
      </w:r>
      <w:r w:rsidR="005169A4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la colaboración de </w:t>
      </w:r>
      <w:r w:rsidR="004115D4" w:rsidRPr="00D64D74">
        <w:rPr>
          <w:rFonts w:ascii="Verdana" w:eastAsia="Calibri" w:hAnsi="Verdana"/>
          <w:sz w:val="32"/>
          <w:szCs w:val="32"/>
          <w:lang w:val="es-MX" w:eastAsia="en-US"/>
        </w:rPr>
        <w:t>diversos órganos</w:t>
      </w:r>
      <w:r w:rsidR="00C93A9C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y </w:t>
      </w:r>
      <w:r w:rsidR="005169A4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grupos de trabajo. </w:t>
      </w:r>
    </w:p>
    <w:p w:rsidR="00BB58DD" w:rsidRPr="00D64D74" w:rsidRDefault="00BB58D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FC5360" w:rsidRPr="00D64D74" w:rsidRDefault="00FC5360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Dentro de estas facultades, </w:t>
      </w:r>
      <w:r w:rsidR="004115D4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nuestra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inspiración general durante el año recién pasado ha sido enfatizar, por una parte, la transparencia y probidad de la función judicial; y por otra, el desarrollo de una cultura organizacional que promueva el acceso a la justicia de toda la población.</w:t>
      </w:r>
    </w:p>
    <w:p w:rsidR="00BB58DD" w:rsidRPr="00D64D74" w:rsidRDefault="00BB58D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E2260D" w:rsidRPr="00BD240F" w:rsidRDefault="00FC5360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En lo que respecta al primer asunto, no puede dejar de mencionarse la labor que en este sentido han </w:t>
      </w:r>
      <w:r w:rsidR="004115D4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desarrollado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las fiscalías judiciales a nivel nacional.</w:t>
      </w:r>
      <w:r w:rsidR="00BD240F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4115D4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D</w:t>
      </w:r>
      <w:r w:rsidR="00833CBB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urante el 2020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</w:t>
      </w:r>
      <w:r w:rsidR="00833CBB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no sólo 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continuaron </w:t>
      </w:r>
      <w:r w:rsidR="00833CBB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con la integración de 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salas de 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cortes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, redactando acuerdos y emitiendo más de 1000 informes jurídicos</w:t>
      </w:r>
      <w:r w:rsidR="00833CBB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, sino también, en sus roles asociados al ámbito disciplinario y de probidad, 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instruyeron 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más de 220 investigaciones </w:t>
      </w:r>
      <w:r w:rsidR="00662EEF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y 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fiscalizaron</w:t>
      </w:r>
      <w:r w:rsidR="00662EEF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la oportunidad de </w:t>
      </w:r>
      <w:r w:rsidR="00BD240F">
        <w:rPr>
          <w:rFonts w:ascii="Verdana" w:eastAsia="Calibri" w:hAnsi="Verdana" w:cs="Times New Roman"/>
          <w:sz w:val="32"/>
          <w:szCs w:val="32"/>
          <w:lang w:val="es-MX" w:eastAsia="en-US"/>
        </w:rPr>
        <w:t>las declaraciones de intereses y p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atrimonio de </w:t>
      </w:r>
      <w:r w:rsidR="00833CBB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 totalidad de los 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3.012 miembros del Poder Judicial obligados a realizar este trámite</w:t>
      </w:r>
      <w:r w:rsidR="00662EEF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, así como la integridad y exactitud 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de</w:t>
      </w:r>
      <w:r w:rsidR="00662EEF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una muestra aleatoria de </w:t>
      </w:r>
      <w:r w:rsidR="00662EEF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2</w:t>
      </w:r>
      <w:r w:rsidR="00F466D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.</w:t>
      </w:r>
      <w:r w:rsidR="00662EEF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094 declaraciones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.  </w:t>
      </w:r>
    </w:p>
    <w:p w:rsidR="00833CBB" w:rsidRPr="00D64D74" w:rsidRDefault="00833CBB" w:rsidP="006132CA">
      <w:pPr>
        <w:spacing w:line="360" w:lineRule="auto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E2260D" w:rsidRPr="00D64D74" w:rsidRDefault="00833CB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También </w:t>
      </w:r>
      <w:r w:rsidR="00BD240F">
        <w:rPr>
          <w:rFonts w:ascii="Verdana" w:eastAsia="Calibri" w:hAnsi="Verdana" w:cs="Times New Roman"/>
          <w:sz w:val="32"/>
          <w:szCs w:val="32"/>
          <w:lang w:val="es-MX" w:eastAsia="en-US"/>
        </w:rPr>
        <w:t>destaca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su labor en el control y seguimiento de las condiciones de las personas que se encuentran privadas de libertad. </w:t>
      </w:r>
      <w:r w:rsidR="00C63183">
        <w:rPr>
          <w:rFonts w:ascii="Verdana" w:eastAsia="Calibri" w:hAnsi="Verdana" w:cs="Times New Roman"/>
          <w:sz w:val="32"/>
          <w:szCs w:val="32"/>
          <w:lang w:val="es-MX" w:eastAsia="en-US"/>
        </w:rPr>
        <w:t>E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 informe emitido en marzo del año pasado, sobre </w:t>
      </w:r>
      <w:r w:rsidR="0088713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la situación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de los penales en Chile en tiempos de pandemia</w:t>
      </w:r>
      <w:r w:rsidR="00C63183">
        <w:rPr>
          <w:rFonts w:ascii="Verdana" w:eastAsia="Calibri" w:hAnsi="Verdana" w:cs="Times New Roman"/>
          <w:sz w:val="32"/>
          <w:szCs w:val="32"/>
          <w:lang w:val="es-MX" w:eastAsia="en-US"/>
        </w:rPr>
        <w:t>,</w:t>
      </w:r>
      <w:r w:rsidR="00E2260D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constituyó un punto de inflexión obligado en la consideración de estas personas durante la crisis sanitaria.  </w:t>
      </w:r>
    </w:p>
    <w:p w:rsidR="00155D6A" w:rsidRPr="00D64D74" w:rsidRDefault="00155D6A" w:rsidP="006132CA">
      <w:pPr>
        <w:spacing w:line="360" w:lineRule="auto"/>
        <w:ind w:firstLine="567"/>
        <w:jc w:val="both"/>
        <w:rPr>
          <w:rFonts w:ascii="Verdana" w:eastAsia="Calibri" w:hAnsi="Verdana"/>
          <w:sz w:val="32"/>
          <w:szCs w:val="32"/>
          <w:lang w:val="es-CL" w:eastAsia="en-US"/>
        </w:rPr>
      </w:pPr>
    </w:p>
    <w:p w:rsidR="005169A4" w:rsidRPr="00D64D74" w:rsidRDefault="00833CBB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>Por otra parte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>,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no puede dejar de enfatizarse la labor que han desempeñado 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los 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principales </w:t>
      </w:r>
      <w:r w:rsidR="00155D6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órganos 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asesores del </w:t>
      </w:r>
      <w:r w:rsidR="00155D6A" w:rsidRPr="00D64D74">
        <w:rPr>
          <w:rFonts w:ascii="Verdana" w:eastAsia="Calibri" w:hAnsi="Verdana"/>
          <w:sz w:val="32"/>
          <w:szCs w:val="32"/>
          <w:lang w:val="es-MX" w:eastAsia="en-US"/>
        </w:rPr>
        <w:t>P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leno </w:t>
      </w:r>
      <w:r w:rsidR="00155D6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 la Corte Suprema 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en 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>el ámbito no jurisdiccional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, a saber, </w:t>
      </w:r>
      <w:r w:rsidR="00155D6A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la labor de 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>lo</w:t>
      </w:r>
      <w:r w:rsidR="00155D6A" w:rsidRPr="00D64D74">
        <w:rPr>
          <w:rFonts w:ascii="Verdana" w:eastAsia="Calibri" w:hAnsi="Verdana"/>
          <w:sz w:val="32"/>
          <w:szCs w:val="32"/>
          <w:lang w:val="es-MX" w:eastAsia="en-US"/>
        </w:rPr>
        <w:t>s</w:t>
      </w:r>
      <w:r w:rsidR="00FC5360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3D1033" w:rsidRPr="00D64D74">
        <w:rPr>
          <w:rFonts w:ascii="Verdana" w:eastAsia="Calibri" w:hAnsi="Verdana"/>
          <w:b/>
          <w:sz w:val="32"/>
          <w:szCs w:val="32"/>
          <w:lang w:val="es-MX" w:eastAsia="en-US"/>
        </w:rPr>
        <w:t>Comité</w:t>
      </w:r>
      <w:r w:rsidR="00C93A9C" w:rsidRPr="00D64D74">
        <w:rPr>
          <w:rFonts w:ascii="Verdana" w:eastAsia="Calibri" w:hAnsi="Verdana"/>
          <w:b/>
          <w:sz w:val="32"/>
          <w:szCs w:val="32"/>
          <w:lang w:val="es-MX" w:eastAsia="en-US"/>
        </w:rPr>
        <w:t>s</w:t>
      </w:r>
      <w:r w:rsidR="003D1033" w:rsidRPr="00D64D74">
        <w:rPr>
          <w:rFonts w:ascii="Verdana" w:eastAsia="Calibri" w:hAnsi="Verdana"/>
          <w:b/>
          <w:sz w:val="32"/>
          <w:szCs w:val="32"/>
          <w:lang w:val="es-MX" w:eastAsia="en-US"/>
        </w:rPr>
        <w:t xml:space="preserve"> de Modernización</w:t>
      </w:r>
      <w:r w:rsidR="00E935BD" w:rsidRPr="00D64D74">
        <w:rPr>
          <w:rFonts w:ascii="Verdana" w:eastAsia="Calibri" w:hAnsi="Verdana"/>
          <w:b/>
          <w:sz w:val="32"/>
          <w:szCs w:val="32"/>
          <w:lang w:val="es-MX" w:eastAsia="en-US"/>
        </w:rPr>
        <w:t>, de Personas</w:t>
      </w:r>
      <w:r w:rsidR="003D1033" w:rsidRPr="00D64D74">
        <w:rPr>
          <w:rFonts w:ascii="Verdana" w:eastAsia="Calibri" w:hAnsi="Verdana"/>
          <w:b/>
          <w:sz w:val="32"/>
          <w:szCs w:val="32"/>
          <w:lang w:val="es-MX" w:eastAsia="en-US"/>
        </w:rPr>
        <w:t xml:space="preserve"> y </w:t>
      </w:r>
      <w:r w:rsidR="00C93A9C" w:rsidRPr="00D64D74">
        <w:rPr>
          <w:rFonts w:ascii="Verdana" w:eastAsia="Calibri" w:hAnsi="Verdana"/>
          <w:b/>
          <w:sz w:val="32"/>
          <w:szCs w:val="32"/>
          <w:lang w:val="es-MX" w:eastAsia="en-US"/>
        </w:rPr>
        <w:t xml:space="preserve">de </w:t>
      </w:r>
      <w:r w:rsidR="003D1033" w:rsidRPr="00D64D74">
        <w:rPr>
          <w:rFonts w:ascii="Verdana" w:eastAsia="Calibri" w:hAnsi="Verdana"/>
          <w:b/>
          <w:sz w:val="32"/>
          <w:szCs w:val="32"/>
          <w:lang w:val="es-MX" w:eastAsia="en-US"/>
        </w:rPr>
        <w:t>Comunicaciones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. </w:t>
      </w:r>
    </w:p>
    <w:p w:rsidR="00BB58DD" w:rsidRPr="00D64D74" w:rsidRDefault="00BB58D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BC6FD2" w:rsidRPr="00D64D74" w:rsidRDefault="00BD240F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>
        <w:rPr>
          <w:rFonts w:ascii="Verdana" w:eastAsia="Calibri" w:hAnsi="Verdana"/>
          <w:sz w:val="32"/>
          <w:szCs w:val="32"/>
          <w:lang w:val="es-MX" w:eastAsia="en-US"/>
        </w:rPr>
        <w:t>D</w:t>
      </w:r>
      <w:r w:rsidR="00C93A9C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urante el año recién pasado 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el quehacer del </w:t>
      </w:r>
      <w:r w:rsidR="003D1033" w:rsidRPr="00D64D74">
        <w:rPr>
          <w:rFonts w:ascii="Verdana" w:eastAsia="Calibri" w:hAnsi="Verdana"/>
          <w:b/>
          <w:sz w:val="32"/>
          <w:szCs w:val="32"/>
          <w:lang w:val="es-MX" w:eastAsia="en-US"/>
        </w:rPr>
        <w:t>Comité de Modernización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se centró en el desarrollo de materias vinculadas con la reacción a la pandemia y la preocupación sobre poblaciones vulnerables, como los </w:t>
      </w:r>
      <w:r>
        <w:rPr>
          <w:rFonts w:ascii="Verdana" w:eastAsia="Calibri" w:hAnsi="Verdana"/>
          <w:sz w:val="32"/>
          <w:szCs w:val="32"/>
          <w:lang w:val="es-MX" w:eastAsia="en-US"/>
        </w:rPr>
        <w:t>n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iños, </w:t>
      </w:r>
      <w:r>
        <w:rPr>
          <w:rFonts w:ascii="Verdana" w:eastAsia="Calibri" w:hAnsi="Verdana"/>
          <w:sz w:val="32"/>
          <w:szCs w:val="32"/>
          <w:lang w:val="es-MX" w:eastAsia="en-US"/>
        </w:rPr>
        <w:t>n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iñas y </w:t>
      </w:r>
      <w:r>
        <w:rPr>
          <w:rFonts w:ascii="Verdana" w:eastAsia="Calibri" w:hAnsi="Verdana"/>
          <w:sz w:val="32"/>
          <w:szCs w:val="32"/>
          <w:lang w:val="es-MX" w:eastAsia="en-US"/>
        </w:rPr>
        <w:t>a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>dolescentes;</w:t>
      </w:r>
      <w:r w:rsidR="00C93A9C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además,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tuvo un importante rol en el avance de los compromisos de corto y mediano plazo asumidos por el Pleno de la Corte </w:t>
      </w:r>
      <w:r w:rsidR="00C93A9C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Suprema </w:t>
      </w:r>
      <w:r w:rsidR="003D1033" w:rsidRPr="00D64D74">
        <w:rPr>
          <w:rFonts w:ascii="Verdana" w:eastAsia="Calibri" w:hAnsi="Verdana"/>
          <w:sz w:val="32"/>
          <w:szCs w:val="32"/>
          <w:lang w:val="es-MX" w:eastAsia="en-US"/>
        </w:rPr>
        <w:t>ante el Comité de los Derechos d</w:t>
      </w:r>
      <w:r w:rsidR="00E935B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el Niño de las Naciones Unidas; y </w:t>
      </w:r>
      <w:r w:rsidR="002C402D" w:rsidRPr="00D64D74">
        <w:rPr>
          <w:rFonts w:ascii="Verdana" w:eastAsia="Calibri" w:hAnsi="Verdana"/>
          <w:sz w:val="32"/>
          <w:szCs w:val="32"/>
          <w:lang w:val="es-MX" w:eastAsia="en-US"/>
        </w:rPr>
        <w:t>la implementación de la figura</w:t>
      </w:r>
      <w:r w:rsidR="00E935B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de los abogados investigadores para la </w:t>
      </w:r>
      <w:r w:rsidR="002C402D" w:rsidRPr="00D64D74">
        <w:rPr>
          <w:rFonts w:ascii="Verdana" w:eastAsia="Calibri" w:hAnsi="Verdana"/>
          <w:sz w:val="32"/>
          <w:szCs w:val="32"/>
          <w:lang w:val="es-MX" w:eastAsia="en-US"/>
        </w:rPr>
        <w:t>Primera</w:t>
      </w:r>
      <w:r w:rsidR="00E935B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, </w:t>
      </w:r>
      <w:r w:rsidR="002C402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Segunda </w:t>
      </w:r>
      <w:r w:rsidR="00E935B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y </w:t>
      </w:r>
      <w:r w:rsidR="002C402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Cuarta </w:t>
      </w:r>
      <w:r w:rsidR="00E935BD" w:rsidRPr="00D64D74">
        <w:rPr>
          <w:rFonts w:ascii="Verdana" w:eastAsia="Calibri" w:hAnsi="Verdana"/>
          <w:sz w:val="32"/>
          <w:szCs w:val="32"/>
          <w:lang w:val="es-MX" w:eastAsia="en-US"/>
        </w:rPr>
        <w:t>sala de la Corte Suprema</w:t>
      </w:r>
      <w:r w:rsidR="00887130" w:rsidRPr="00D64D74">
        <w:rPr>
          <w:rFonts w:ascii="Verdana" w:eastAsia="Calibri" w:hAnsi="Verdana"/>
          <w:sz w:val="32"/>
          <w:szCs w:val="32"/>
          <w:lang w:val="es-MX" w:eastAsia="en-US"/>
        </w:rPr>
        <w:t>.</w:t>
      </w:r>
    </w:p>
    <w:p w:rsidR="00887130" w:rsidRPr="00D64D74" w:rsidRDefault="00887130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</w:p>
    <w:p w:rsidR="006F547B" w:rsidRPr="00D64D74" w:rsidRDefault="003D1033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Por su parte, el </w:t>
      </w:r>
      <w:r w:rsidRPr="00D64D74">
        <w:rPr>
          <w:rFonts w:ascii="Verdana" w:eastAsia="Calibri" w:hAnsi="Verdana"/>
          <w:b/>
          <w:sz w:val="32"/>
          <w:szCs w:val="32"/>
          <w:lang w:val="es-MX" w:eastAsia="en-US"/>
        </w:rPr>
        <w:t>Comité de Personas</w:t>
      </w:r>
      <w:r w:rsidR="009C3B7E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entregó su parecer respecto </w:t>
      </w:r>
      <w:r w:rsidR="006F547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 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>numerosas</w:t>
      </w:r>
      <w:r w:rsidR="006F547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solicitudes de traslado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>s</w:t>
      </w:r>
      <w:r w:rsidR="006F547B" w:rsidRPr="00D64D74">
        <w:rPr>
          <w:rFonts w:ascii="Verdana" w:eastAsia="Calibri" w:hAnsi="Verdana"/>
          <w:sz w:val="32"/>
          <w:szCs w:val="32"/>
          <w:lang w:val="es-MX" w:eastAsia="en-US"/>
        </w:rPr>
        <w:t>, permuta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>s</w:t>
      </w:r>
      <w:r w:rsidR="00BD240F">
        <w:rPr>
          <w:rFonts w:ascii="Verdana" w:eastAsia="Calibri" w:hAnsi="Verdana"/>
          <w:sz w:val="32"/>
          <w:szCs w:val="32"/>
          <w:lang w:val="es-MX" w:eastAsia="en-US"/>
        </w:rPr>
        <w:t>, comisiones de servicio</w:t>
      </w:r>
      <w:r w:rsidR="006F547B" w:rsidRPr="00D64D74">
        <w:rPr>
          <w:rFonts w:ascii="Verdana" w:eastAsia="Calibri" w:hAnsi="Verdana"/>
          <w:sz w:val="32"/>
          <w:szCs w:val="32"/>
          <w:lang w:val="es-MX" w:eastAsia="en-US"/>
        </w:rPr>
        <w:t>, expedientes de juramento y habilitación de título extranjero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, además del desarrollo de estudios </w:t>
      </w:r>
      <w:r w:rsidR="009C3B7E" w:rsidRPr="00D64D74">
        <w:rPr>
          <w:rFonts w:ascii="Verdana" w:eastAsia="Calibri" w:hAnsi="Verdana"/>
          <w:sz w:val="32"/>
          <w:szCs w:val="32"/>
          <w:lang w:val="es-MX" w:eastAsia="en-US"/>
        </w:rPr>
        <w:t>para mejorar su gestión</w:t>
      </w:r>
      <w:r w:rsidR="006F547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en </w:t>
      </w:r>
      <w:r w:rsidR="002C402D" w:rsidRPr="00D64D74">
        <w:rPr>
          <w:rFonts w:ascii="Verdana" w:eastAsia="Calibri" w:hAnsi="Verdana"/>
          <w:sz w:val="32"/>
          <w:szCs w:val="32"/>
          <w:lang w:val="es-MX" w:eastAsia="en-US"/>
        </w:rPr>
        <w:t>materias</w:t>
      </w:r>
      <w:r w:rsidR="008B65F7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de su competencia. </w:t>
      </w:r>
    </w:p>
    <w:p w:rsidR="00BB58DD" w:rsidRPr="00D64D74" w:rsidRDefault="00BB58DD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 w:eastAsia="en-US"/>
        </w:rPr>
      </w:pPr>
    </w:p>
    <w:p w:rsidR="003A632E" w:rsidRDefault="006F547B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CL" w:eastAsia="en-US"/>
        </w:rPr>
      </w:pPr>
      <w:r w:rsidRPr="00D64D74">
        <w:rPr>
          <w:rFonts w:ascii="Verdana" w:eastAsia="Calibri" w:hAnsi="Verdana"/>
          <w:sz w:val="32"/>
          <w:szCs w:val="32"/>
          <w:lang w:val="es-CL" w:eastAsia="en-US"/>
        </w:rPr>
        <w:t xml:space="preserve">Por último, </w:t>
      </w:r>
      <w:r w:rsidRPr="00D64D74">
        <w:rPr>
          <w:rFonts w:ascii="Verdana" w:eastAsia="Calibri" w:hAnsi="Verdana"/>
          <w:b/>
          <w:sz w:val="32"/>
          <w:szCs w:val="32"/>
          <w:lang w:val="es-CL" w:eastAsia="en-US"/>
        </w:rPr>
        <w:t>el Comité de Comunicaciones</w:t>
      </w:r>
      <w:r w:rsidR="00BD240F">
        <w:rPr>
          <w:rFonts w:ascii="Verdana" w:eastAsia="Calibri" w:hAnsi="Verdana"/>
          <w:sz w:val="32"/>
          <w:szCs w:val="32"/>
          <w:lang w:val="es-CL" w:eastAsia="en-US"/>
        </w:rPr>
        <w:t xml:space="preserve"> </w:t>
      </w:r>
      <w:r w:rsidR="00420F97" w:rsidRPr="00D64D74">
        <w:rPr>
          <w:rFonts w:ascii="Verdana" w:eastAsia="Calibri" w:hAnsi="Verdana"/>
          <w:sz w:val="32"/>
          <w:szCs w:val="32"/>
          <w:lang w:val="es-CL" w:eastAsia="en-US"/>
        </w:rPr>
        <w:t>desarrolló diversos proyectos</w:t>
      </w:r>
      <w:r w:rsidR="00A10ABE" w:rsidRPr="00D64D74">
        <w:rPr>
          <w:rFonts w:ascii="Verdana" w:eastAsia="Calibri" w:hAnsi="Verdana"/>
          <w:sz w:val="32"/>
          <w:szCs w:val="32"/>
          <w:lang w:val="es-CL" w:eastAsia="en-US"/>
        </w:rPr>
        <w:t xml:space="preserve"> vinculados a su rol</w:t>
      </w:r>
      <w:r w:rsidR="008B65F7" w:rsidRPr="00D64D74">
        <w:rPr>
          <w:rFonts w:ascii="Verdana" w:eastAsia="Calibri" w:hAnsi="Verdana"/>
          <w:sz w:val="32"/>
          <w:szCs w:val="32"/>
          <w:lang w:val="es-CL" w:eastAsia="en-US"/>
        </w:rPr>
        <w:t>, como la realización de un seminario internacional por los 20 años de la Reforma Procesal</w:t>
      </w:r>
      <w:r w:rsidR="00BD240F">
        <w:rPr>
          <w:rFonts w:ascii="Verdana" w:eastAsia="Calibri" w:hAnsi="Verdana"/>
          <w:sz w:val="32"/>
          <w:szCs w:val="32"/>
          <w:lang w:val="es-CL" w:eastAsia="en-US"/>
        </w:rPr>
        <w:t xml:space="preserve"> Penal, un conversatorio sobre probidad y t</w:t>
      </w:r>
      <w:r w:rsidR="008B65F7" w:rsidRPr="00D64D74">
        <w:rPr>
          <w:rFonts w:ascii="Verdana" w:eastAsia="Calibri" w:hAnsi="Verdana"/>
          <w:sz w:val="32"/>
          <w:szCs w:val="32"/>
          <w:lang w:val="es-CL" w:eastAsia="en-US"/>
        </w:rPr>
        <w:t>ransparencia y el</w:t>
      </w:r>
      <w:r w:rsidR="00A10ABE" w:rsidRPr="00D64D74">
        <w:rPr>
          <w:rFonts w:ascii="Verdana" w:eastAsia="Calibri" w:hAnsi="Verdana"/>
          <w:sz w:val="32"/>
          <w:szCs w:val="32"/>
          <w:lang w:val="es-CL" w:eastAsia="en-US"/>
        </w:rPr>
        <w:t xml:space="preserve"> </w:t>
      </w:r>
      <w:r w:rsidR="008B65F7" w:rsidRPr="00D64D74">
        <w:rPr>
          <w:rFonts w:ascii="Verdana" w:eastAsia="Calibri" w:hAnsi="Verdana"/>
          <w:sz w:val="32"/>
          <w:szCs w:val="32"/>
          <w:lang w:val="es-CL" w:eastAsia="en-US"/>
        </w:rPr>
        <w:t>l</w:t>
      </w:r>
      <w:r w:rsidR="00A10ABE" w:rsidRPr="00D64D74">
        <w:rPr>
          <w:rFonts w:ascii="Verdana" w:eastAsia="Calibri" w:hAnsi="Verdana"/>
          <w:sz w:val="32"/>
          <w:szCs w:val="32"/>
          <w:lang w:val="es-CL" w:eastAsia="en-US"/>
        </w:rPr>
        <w:t>evantamiento y elaboración de material de difusión sobre iniciativas existentes en el Poder Judicial en materia de probidad.</w:t>
      </w:r>
    </w:p>
    <w:p w:rsidR="006132CA" w:rsidRPr="00D64D74" w:rsidRDefault="006132CA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CL" w:eastAsia="en-US"/>
        </w:rPr>
      </w:pPr>
    </w:p>
    <w:p w:rsidR="00BC6FD2" w:rsidRDefault="00093AD9" w:rsidP="006132CA">
      <w:pPr>
        <w:pStyle w:val="Ttulo2"/>
        <w:spacing w:before="0" w:after="0" w:line="360" w:lineRule="auto"/>
      </w:pPr>
      <w:bookmarkStart w:id="17" w:name="_Toc65244173"/>
      <w:r w:rsidRPr="00D64D74">
        <w:t>T</w:t>
      </w:r>
      <w:r w:rsidR="00BC6FD2" w:rsidRPr="00D64D74">
        <w:t>rabajo jurisdiccional</w:t>
      </w:r>
      <w:bookmarkEnd w:id="17"/>
    </w:p>
    <w:p w:rsidR="006132CA" w:rsidRPr="006132CA" w:rsidRDefault="006132CA" w:rsidP="006132CA">
      <w:pPr>
        <w:rPr>
          <w:lang w:val="es-CL"/>
        </w:rPr>
      </w:pPr>
    </w:p>
    <w:p w:rsidR="001549B2" w:rsidRPr="001549B2" w:rsidRDefault="001549B2" w:rsidP="006132CA">
      <w:pPr>
        <w:pStyle w:val="Ttulo3"/>
        <w:numPr>
          <w:ilvl w:val="0"/>
          <w:numId w:val="17"/>
        </w:numPr>
        <w:spacing w:before="0" w:after="0" w:line="360" w:lineRule="auto"/>
        <w:ind w:left="1418" w:hanging="709"/>
        <w:jc w:val="both"/>
        <w:rPr>
          <w:rFonts w:ascii="Verdana" w:hAnsi="Verdana"/>
          <w:sz w:val="32"/>
          <w:szCs w:val="32"/>
        </w:rPr>
      </w:pPr>
      <w:bookmarkStart w:id="18" w:name="_Toc65244174"/>
      <w:r w:rsidRPr="001549B2">
        <w:rPr>
          <w:rFonts w:ascii="Verdana" w:hAnsi="Verdana"/>
          <w:sz w:val="32"/>
          <w:szCs w:val="32"/>
        </w:rPr>
        <w:t>Jurisprudencia relevante de la Corte Suprema</w:t>
      </w:r>
      <w:bookmarkEnd w:id="18"/>
    </w:p>
    <w:p w:rsidR="006132CA" w:rsidRDefault="006132CA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</w:p>
    <w:p w:rsidR="00BC3121" w:rsidRPr="00D64D74" w:rsidRDefault="00BC3121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 w:rsidRPr="00D64D74">
        <w:rPr>
          <w:rFonts w:ascii="Verdana" w:eastAsia="Calibri" w:hAnsi="Verdana"/>
          <w:sz w:val="32"/>
          <w:szCs w:val="32"/>
          <w:lang w:val="es-MX" w:eastAsia="en-US"/>
        </w:rPr>
        <w:t>Tal como muestran las cifras que he comentado al inicio de esta cuenta pública, el Poder Judicial continuó desempeñando su rol prioritario:</w:t>
      </w:r>
      <w:r w:rsidR="00BB58DD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9A53DE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tutelar los derechos fundamentales de las personas y 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>resolv</w:t>
      </w:r>
      <w:r w:rsidR="00BB58DD" w:rsidRPr="00D64D74">
        <w:rPr>
          <w:rFonts w:ascii="Verdana" w:eastAsia="Calibri" w:hAnsi="Verdana"/>
          <w:sz w:val="32"/>
          <w:szCs w:val="32"/>
          <w:lang w:val="es-MX" w:eastAsia="en-US"/>
        </w:rPr>
        <w:t>er</w:t>
      </w:r>
      <w:r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los conflictos jurídicos de relevancia. </w:t>
      </w:r>
    </w:p>
    <w:p w:rsidR="0027532A" w:rsidRPr="00D64D74" w:rsidRDefault="0027532A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BC3121" w:rsidRPr="00D64D74" w:rsidRDefault="00BD240F" w:rsidP="006132CA">
      <w:pPr>
        <w:spacing w:line="360" w:lineRule="auto"/>
        <w:ind w:firstLine="720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>
        <w:rPr>
          <w:rFonts w:ascii="Verdana" w:eastAsia="Calibri" w:hAnsi="Verdana"/>
          <w:sz w:val="32"/>
          <w:szCs w:val="32"/>
          <w:lang w:val="es-MX" w:eastAsia="en-US"/>
        </w:rPr>
        <w:t>A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>demás del ámbito cuantitativo que ya he abordado, vale la pena recordar de</w:t>
      </w:r>
      <w:r w:rsidR="00B15E53" w:rsidRPr="00D64D74">
        <w:rPr>
          <w:rFonts w:ascii="Verdana" w:eastAsia="Calibri" w:hAnsi="Verdana"/>
          <w:sz w:val="32"/>
          <w:szCs w:val="32"/>
          <w:lang w:val="es-MX" w:eastAsia="en-US"/>
        </w:rPr>
        <w:t>sde una perspectiva cualitativa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algunos de los fallos </w:t>
      </w:r>
      <w:r w:rsidR="00BE25D7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de la Corte Suprema 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>que resultaron más emblemáticos est</w:t>
      </w:r>
      <w:r w:rsidR="00B15E53" w:rsidRPr="00D64D74">
        <w:rPr>
          <w:rFonts w:ascii="Verdana" w:eastAsia="Calibri" w:hAnsi="Verdana"/>
          <w:sz w:val="32"/>
          <w:szCs w:val="32"/>
          <w:lang w:val="es-MX" w:eastAsia="en-US"/>
        </w:rPr>
        <w:t>e año.</w:t>
      </w:r>
    </w:p>
    <w:p w:rsidR="001F0CB2" w:rsidRPr="00D64D74" w:rsidRDefault="00FC5360" w:rsidP="006132CA">
      <w:pPr>
        <w:pStyle w:val="Ttulo3"/>
        <w:spacing w:before="0" w:after="0" w:line="360" w:lineRule="auto"/>
        <w:rPr>
          <w:rFonts w:ascii="Verdana" w:hAnsi="Verdana"/>
          <w:sz w:val="32"/>
          <w:szCs w:val="32"/>
        </w:rPr>
      </w:pPr>
      <w:r w:rsidRPr="00D64D74">
        <w:rPr>
          <w:rFonts w:ascii="Verdana" w:hAnsi="Verdana"/>
          <w:sz w:val="32"/>
          <w:szCs w:val="32"/>
        </w:rPr>
        <w:t xml:space="preserve"> </w:t>
      </w:r>
    </w:p>
    <w:p w:rsidR="001F0CB2" w:rsidRPr="00D64D74" w:rsidRDefault="001F0C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BD240F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En lo que se refiere a la </w:t>
      </w:r>
      <w:r w:rsidRPr="00BD240F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 xml:space="preserve">Primera </w:t>
      </w:r>
      <w:r w:rsidR="001170E1" w:rsidRPr="00BD240F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Sala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, un repaso por sus sentencias permite destacar cómo sus fallos han abordado temáticas relativas a la imputabilidad y culpa del deudor y sus aspectos probatorios en las obligaciones de medios y de resultado; los alcances de la indemnización pagada al asegurado, en relación al derecho de subrogación en mate</w:t>
      </w:r>
      <w:r w:rsidR="00FA10F7">
        <w:rPr>
          <w:rFonts w:ascii="Verdana" w:eastAsia="Calibri" w:hAnsi="Verdana" w:cs="Times New Roman"/>
          <w:sz w:val="32"/>
          <w:szCs w:val="32"/>
          <w:lang w:val="es-MX" w:eastAsia="en-US"/>
        </w:rPr>
        <w:t>ria comercial;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los alcances y efectos de las condiciones y plazos convenidos en los acuer</w:t>
      </w:r>
      <w:r w:rsidR="00FA10F7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dos de reorganización concursal; </w:t>
      </w:r>
      <w:r w:rsidR="00FA10F7" w:rsidRPr="003F17BB">
        <w:rPr>
          <w:rFonts w:ascii="Verdana" w:eastAsia="Calibri" w:hAnsi="Verdana" w:cs="Times New Roman"/>
          <w:sz w:val="32"/>
          <w:szCs w:val="32"/>
          <w:lang w:val="es-MX" w:eastAsia="en-US"/>
        </w:rPr>
        <w:t>la acción indemnizatoria por daño moral y los elementos de la acción reinvindicatoria.</w:t>
      </w:r>
    </w:p>
    <w:p w:rsidR="001F0CB2" w:rsidRPr="00D64D74" w:rsidRDefault="001F0C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1F0CB2" w:rsidRPr="00D64D74" w:rsidRDefault="001F0C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Entre las sentencias más importantes dictadas por la 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Segunda Sala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, resulta llamativo el abordaje sistémico del modelo de responsabilidad penal consagrado en la Ley N° 20.084, puntualizándose los límites y criterios que rigen el cómputo de la prescripción de la acción penal en el caso de delitos sexuales cometidos por un adolescente; la elevación de </w:t>
      </w:r>
      <w:r w:rsidR="001549B2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las penas que debían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cumplir siete ex agentes de la DINA, por su responsabilidad en los delitos de secuestro calificado y homicidio califi</w:t>
      </w:r>
      <w:r w:rsidR="009F37CB">
        <w:rPr>
          <w:rFonts w:ascii="Verdana" w:eastAsia="Calibri" w:hAnsi="Verdana" w:cs="Times New Roman"/>
          <w:sz w:val="32"/>
          <w:szCs w:val="32"/>
          <w:lang w:val="es-MX" w:eastAsia="en-US"/>
        </w:rPr>
        <w:t>cado</w:t>
      </w:r>
      <w:r w:rsidR="003F17BB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y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</w:t>
      </w:r>
      <w:r w:rsidR="009F37CB" w:rsidRPr="003F17BB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 exigencia del carácter objetivo que ha de tener </w:t>
      </w:r>
      <w:r w:rsidR="003F17BB" w:rsidRPr="003F17BB">
        <w:rPr>
          <w:rFonts w:ascii="Verdana" w:eastAsia="Calibri" w:hAnsi="Verdana" w:cs="Times New Roman"/>
          <w:sz w:val="32"/>
          <w:szCs w:val="32"/>
          <w:lang w:val="es-MX" w:eastAsia="en-US"/>
        </w:rPr>
        <w:t>la justificación por la</w:t>
      </w:r>
      <w:r w:rsidR="009F37CB" w:rsidRPr="003F17BB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cual las policías pueden proceder a los controles de identidad como condición de la licitud de la prueba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.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1F0CB2" w:rsidRPr="00D64D74" w:rsidRDefault="001F0C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Por su parte, en el caso de la 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Tercera Sala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, destaca</w:t>
      </w:r>
      <w:r w:rsidR="001549B2">
        <w:rPr>
          <w:rFonts w:ascii="Verdana" w:eastAsia="Calibri" w:hAnsi="Verdana" w:cs="Times New Roman"/>
          <w:sz w:val="32"/>
          <w:szCs w:val="32"/>
          <w:lang w:val="es-MX" w:eastAsia="en-US"/>
        </w:rPr>
        <w:t>,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a propósito del conocimiento de acciones de protección, el ahondamiento del ámbito de </w:t>
      </w:r>
      <w:r w:rsidR="00B15E53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resguardo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que establece </w:t>
      </w:r>
      <w:r w:rsidR="00B15E53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Constitución en relación a la identidad de género y su derecho a expresarla por parte de personas menores de edad que asisten a establecimientos educacionales; la profundización del estatuto jurídico del síndrome de down y su carácter no-patológico a efectos de su consideración por el sistema de </w:t>
      </w:r>
      <w:r w:rsidR="00B15E53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Isapres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; y la problemática de la libre competencia en lo que concierne a la definición del espectro radioeléctrico necesaria para hacer operativa la tecnología 5G en nuestro país.</w:t>
      </w:r>
    </w:p>
    <w:p w:rsidR="001F0CB2" w:rsidRPr="00D64D74" w:rsidRDefault="001F0C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1F0CB2" w:rsidRDefault="001F0C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Por último, entre los fallos dictados en la 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Cuart</w:t>
      </w:r>
      <w:r w:rsidR="008C1855"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a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 xml:space="preserve"> </w:t>
      </w:r>
      <w:r w:rsidR="008C1855"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S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ala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, </w:t>
      </w:r>
      <w:r w:rsidR="00AF0BB1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cabe mencionar el análisis de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los presupuestos, principios y plazos aplicables a la regulación de las acciones de impugnación y reclamación de filiación; el concepto de “vulneración de derechos” en el contexto de la normativa nacional e internacional aplicable a la situación de los niños, niñas y adolescentes, considerando específicamente los requisitos que debe establecer toda resolución que establezca alguna medida de protección; y la eficacia liberatoria de los finiquitos suscritos en el contexto de diversos y sucesivos contratos a plazo celebrados entre el mismo trabajador y empleador.</w:t>
      </w:r>
    </w:p>
    <w:p w:rsidR="006132CA" w:rsidRPr="00D64D74" w:rsidRDefault="006132CA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1549B2" w:rsidRPr="001549B2" w:rsidRDefault="001549B2" w:rsidP="006132CA">
      <w:pPr>
        <w:pStyle w:val="Ttulo3"/>
        <w:numPr>
          <w:ilvl w:val="0"/>
          <w:numId w:val="17"/>
        </w:numPr>
        <w:spacing w:before="0" w:after="0" w:line="360" w:lineRule="auto"/>
        <w:ind w:left="1418" w:hanging="709"/>
        <w:jc w:val="both"/>
        <w:rPr>
          <w:rFonts w:ascii="Verdana" w:hAnsi="Verdana"/>
          <w:sz w:val="32"/>
          <w:szCs w:val="32"/>
        </w:rPr>
      </w:pPr>
      <w:bookmarkStart w:id="19" w:name="_Toc65244175"/>
      <w:r>
        <w:rPr>
          <w:rFonts w:ascii="Verdana" w:hAnsi="Verdana"/>
          <w:sz w:val="32"/>
          <w:szCs w:val="32"/>
        </w:rPr>
        <w:t>Dudas y dificultades en la inteligencia y aplicación de las leyes y los vacíos que se noten en ellas</w:t>
      </w:r>
      <w:bookmarkEnd w:id="19"/>
    </w:p>
    <w:p w:rsidR="001549B2" w:rsidRDefault="001549B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Pr="00D64D74" w:rsidRDefault="001170E1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FE56EB">
        <w:rPr>
          <w:rFonts w:ascii="Verdana" w:eastAsia="Calibri" w:hAnsi="Verdana" w:cs="Times New Roman"/>
          <w:sz w:val="32"/>
          <w:szCs w:val="32"/>
          <w:lang w:val="es-MX" w:eastAsia="en-US"/>
        </w:rPr>
        <w:t>A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las dificultades </w:t>
      </w:r>
      <w:r w:rsidR="00BE25D7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propias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de la situación de emergencia sanitaria, debemos agregar algunas que derivan de </w:t>
      </w:r>
      <w:r w:rsidR="00FC1492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problemas institucionales y jurídicos que es nuestro deber relevar y necesario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resolver.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Pr="00D64D74" w:rsidRDefault="00C7061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En cumplimiento de lo dispuesto en los artículos 102 N° 4 del Código Orgánico de Tribunales y 5° del Código Civil, las Cortes de Apelaciones del país y los tribunales de primera instancia han comunicado a esta Corte 370 inquietudes</w:t>
      </w:r>
      <w:r w:rsidR="008C1855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relacionadas con</w:t>
      </w:r>
      <w:r w:rsidR="008C1855"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 xml:space="preserve"> 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vacíos, dudas y dificultades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que, a su juicio, han obstruido la </w:t>
      </w:r>
      <w:r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inteligencia y aplicación de las leyes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. 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Pr="00D64D74" w:rsidRDefault="00C70616" w:rsidP="006132CA">
      <w:pPr>
        <w:tabs>
          <w:tab w:val="left" w:pos="4676"/>
        </w:tabs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La mayor cantidad de estas corresponde al proceso penal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>, con 111 inquietudes,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seguido por 91 refe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>ridas a materias laborales,</w:t>
      </w:r>
      <w:r w:rsidR="00BE25D7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70 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>al procedimiento de familia, 39 a materias civiles,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17 a mate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>rias administrativas y públicas,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1</w:t>
      </w:r>
      <w:r w:rsidR="00BE25D7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9 a materias de índole procesal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y 3 a </w:t>
      </w:r>
      <w:r w:rsidR="00BE25D7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asuntos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constitucionales. 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Pr="00D64D74" w:rsidRDefault="00C7061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Asimismo, se presentaron 20 inquietudes relacionadas con norma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>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relativa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>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a la pandemia, tales como la Ley N° 21.226, que establece un régimen jurídico de excepción para los procesos judiciales</w:t>
      </w:r>
      <w:r w:rsidR="009D386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y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</w:t>
      </w:r>
      <w:r w:rsidR="009D386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Ley N° 21.248, que permite el retiro excepcional de los fondos acumulad</w:t>
      </w:r>
      <w:r w:rsidR="009D386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os de capitalización individual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.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Default="00C7061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Para facilitar l</w:t>
      </w:r>
      <w:r w:rsidR="009D3860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a comprensión de estos reclamos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y su efectiva consideración por las autoridades pertinentes, todas estas dudas e inquietudes se han procesado y ordenado por materias, las que se acompañarán como anexo al documento que sirve de base a este discu</w:t>
      </w:r>
      <w:r w:rsidR="008A6BE5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rso, con el fin de comunicarlo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directamente al Ejecutivo para los fines </w:t>
      </w:r>
      <w:r w:rsidR="001170E1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correspondientes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.</w:t>
      </w:r>
    </w:p>
    <w:p w:rsidR="00FE56EB" w:rsidRPr="00D64D74" w:rsidRDefault="00FE56E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Pr="00D64D74" w:rsidRDefault="00401CEC" w:rsidP="006132CA">
      <w:pPr>
        <w:pStyle w:val="Ttulo2"/>
        <w:spacing w:before="0" w:after="0" w:line="360" w:lineRule="auto"/>
        <w:jc w:val="both"/>
        <w:rPr>
          <w:lang w:eastAsia="en-US"/>
        </w:rPr>
      </w:pPr>
      <w:bookmarkStart w:id="20" w:name="_Toc65244176"/>
      <w:r>
        <w:rPr>
          <w:lang w:eastAsia="en-US"/>
        </w:rPr>
        <w:t xml:space="preserve">La reforma pendiente: </w:t>
      </w:r>
      <w:r w:rsidR="00E935BD" w:rsidRPr="00D64D74">
        <w:rPr>
          <w:lang w:eastAsia="en-US"/>
        </w:rPr>
        <w:t>R</w:t>
      </w:r>
      <w:r w:rsidR="00C70616" w:rsidRPr="00D64D74">
        <w:rPr>
          <w:lang w:eastAsia="en-US"/>
        </w:rPr>
        <w:t xml:space="preserve">eforma </w:t>
      </w:r>
      <w:r w:rsidR="00E935BD" w:rsidRPr="00D64D74">
        <w:rPr>
          <w:lang w:eastAsia="en-US"/>
        </w:rPr>
        <w:t>P</w:t>
      </w:r>
      <w:r w:rsidR="00C70616" w:rsidRPr="00D64D74">
        <w:rPr>
          <w:lang w:eastAsia="en-US"/>
        </w:rPr>
        <w:t xml:space="preserve">rocesal </w:t>
      </w:r>
      <w:r w:rsidR="00E935BD" w:rsidRPr="00D64D74">
        <w:rPr>
          <w:lang w:eastAsia="en-US"/>
        </w:rPr>
        <w:t>C</w:t>
      </w:r>
      <w:r w:rsidR="00C70616" w:rsidRPr="00D64D74">
        <w:rPr>
          <w:lang w:eastAsia="en-US"/>
        </w:rPr>
        <w:t>ivil</w:t>
      </w:r>
      <w:bookmarkEnd w:id="20"/>
      <w:r w:rsidR="00C70616" w:rsidRPr="00D64D74">
        <w:rPr>
          <w:lang w:eastAsia="en-US"/>
        </w:rPr>
        <w:t xml:space="preserve"> </w:t>
      </w:r>
    </w:p>
    <w:p w:rsidR="00EA01E5" w:rsidRPr="00D64D74" w:rsidRDefault="00EA01E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b/>
          <w:sz w:val="32"/>
          <w:szCs w:val="32"/>
          <w:lang w:val="es-MX" w:eastAsia="en-US"/>
        </w:rPr>
      </w:pPr>
    </w:p>
    <w:p w:rsidR="00401CEC" w:rsidRDefault="00401CEC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>
        <w:rPr>
          <w:rFonts w:ascii="Verdana" w:eastAsia="Calibri" w:hAnsi="Verdana" w:cs="Times New Roman"/>
          <w:sz w:val="32"/>
          <w:szCs w:val="32"/>
          <w:lang w:val="es-MX" w:eastAsia="en-US"/>
        </w:rPr>
        <w:t>C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omo en años anteriores</w:t>
      </w:r>
      <w:r w:rsidR="0038597A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,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quiero hacer énfasis en la necesidad de la </w:t>
      </w:r>
      <w:r w:rsidR="00C70616" w:rsidRPr="00D64D74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Reforma Procesal Civil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. Vemos con preocupación el fenómeno que se ha generado en torno a ella, donde como país parecemos habernos acostumbra</w:t>
      </w:r>
      <w:r w:rsidR="0038597A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do a lamentar su postergación, conformándonos con la pura promesa de su futura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puesta en marcha. Debemos salir de este estado y </w:t>
      </w:r>
      <w:r w:rsidR="0038597A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superar </w:t>
      </w:r>
      <w:r w:rsidR="00C70616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 inercia en la que hemos caído, porque a estas alturas parecemos estar más cerca de abandonar un esfuerzo de más de 15 años, que de hacer realidad esta reforma. </w:t>
      </w:r>
    </w:p>
    <w:p w:rsidR="00401CEC" w:rsidRDefault="00401CEC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401CEC" w:rsidRDefault="00C7061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La eternización del debate en torno </w:t>
      </w:r>
      <w:r w:rsidR="0038597A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a </w:t>
      </w:r>
      <w:r w:rsidR="00FC1492">
        <w:rPr>
          <w:rFonts w:ascii="Verdana" w:eastAsia="Calibri" w:hAnsi="Verdana" w:cs="Times New Roman"/>
          <w:sz w:val="32"/>
          <w:szCs w:val="32"/>
          <w:lang w:val="es-MX" w:eastAsia="en-US"/>
        </w:rPr>
        <w:t>ella</w:t>
      </w:r>
      <w:r w:rsidR="00FC1492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desatiende el hecho de que en esta reforma está cifrada la expectativa de ampliación del acceso a la justicia. Este punto es central y merece ser enfatizado. </w:t>
      </w:r>
    </w:p>
    <w:p w:rsidR="00401CEC" w:rsidRDefault="00401CEC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C70616" w:rsidRPr="00D64D74" w:rsidRDefault="00C7061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Esperamos que la Reforma Procesal Civil se transforme en una realidad, confirmando una vez más nuestro incondiciona</w:t>
      </w:r>
      <w:r w:rsidR="0038597A"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>l</w:t>
      </w: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apoyo y compromiso para que ello se concrete.</w:t>
      </w:r>
    </w:p>
    <w:p w:rsidR="00FE56EB" w:rsidRPr="00D64D74" w:rsidRDefault="00FE56E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</w:p>
    <w:p w:rsidR="00BC3121" w:rsidRPr="00D64D74" w:rsidRDefault="00BC3121" w:rsidP="006132CA">
      <w:pPr>
        <w:pStyle w:val="Ttulo2"/>
        <w:spacing w:before="0" w:after="0" w:line="360" w:lineRule="auto"/>
        <w:rPr>
          <w:rFonts w:eastAsia="Calibri"/>
          <w:lang w:val="es-MX" w:eastAsia="en-US"/>
        </w:rPr>
      </w:pPr>
      <w:bookmarkStart w:id="21" w:name="_Toc65244177"/>
      <w:r w:rsidRPr="00D64D74">
        <w:t>Acusación constitucional</w:t>
      </w:r>
      <w:bookmarkEnd w:id="21"/>
    </w:p>
    <w:p w:rsidR="0027532A" w:rsidRPr="00D64D74" w:rsidRDefault="0027532A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BC3121" w:rsidRPr="00D64D74" w:rsidRDefault="00060D3D" w:rsidP="006132CA">
      <w:pPr>
        <w:spacing w:line="360" w:lineRule="auto"/>
        <w:ind w:firstLine="708"/>
        <w:jc w:val="both"/>
        <w:rPr>
          <w:rFonts w:ascii="Verdana" w:eastAsia="Calibri" w:hAnsi="Verdana"/>
          <w:sz w:val="32"/>
          <w:szCs w:val="32"/>
          <w:lang w:val="es-MX" w:eastAsia="en-US"/>
        </w:rPr>
      </w:pPr>
      <w:r>
        <w:rPr>
          <w:rFonts w:ascii="Verdana" w:eastAsia="Calibri" w:hAnsi="Verdana"/>
          <w:sz w:val="32"/>
          <w:szCs w:val="32"/>
          <w:lang w:val="es-MX" w:eastAsia="en-US"/>
        </w:rPr>
        <w:t xml:space="preserve">En el año 2020, a propósito de 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la </w:t>
      </w:r>
      <w:r w:rsidR="008C1855" w:rsidRPr="00401CEC">
        <w:rPr>
          <w:rFonts w:ascii="Verdana" w:eastAsia="Calibri" w:hAnsi="Verdana"/>
          <w:b/>
          <w:sz w:val="32"/>
          <w:szCs w:val="32"/>
          <w:lang w:val="es-MX" w:eastAsia="en-US"/>
        </w:rPr>
        <w:t>acusación constitucional</w:t>
      </w:r>
      <w:r w:rsidR="005E1A9B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>
        <w:rPr>
          <w:rFonts w:ascii="Verdana" w:eastAsia="Calibri" w:hAnsi="Verdana"/>
          <w:sz w:val="32"/>
          <w:szCs w:val="32"/>
          <w:lang w:val="es-MX" w:eastAsia="en-US"/>
        </w:rPr>
        <w:t xml:space="preserve">deducida </w:t>
      </w:r>
      <w:r w:rsidR="005E1A9B" w:rsidRPr="00D64D74">
        <w:rPr>
          <w:rFonts w:ascii="Verdana" w:eastAsia="Calibri" w:hAnsi="Verdana"/>
          <w:sz w:val="32"/>
          <w:szCs w:val="32"/>
          <w:lang w:val="es-MX" w:eastAsia="en-US"/>
        </w:rPr>
        <w:t>contra una ministra de Corte de Apelaciones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, el Pleno de </w:t>
      </w:r>
      <w:r w:rsidR="00494903" w:rsidRPr="00D64D74">
        <w:rPr>
          <w:rFonts w:ascii="Verdana" w:eastAsia="Calibri" w:hAnsi="Verdana"/>
          <w:sz w:val="32"/>
          <w:szCs w:val="32"/>
          <w:lang w:val="es-MX" w:eastAsia="en-US"/>
        </w:rPr>
        <w:t>este tribunal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745C20">
        <w:rPr>
          <w:rFonts w:ascii="Verdana" w:eastAsia="Calibri" w:hAnsi="Verdana"/>
          <w:sz w:val="32"/>
          <w:szCs w:val="32"/>
          <w:lang w:val="es-MX" w:eastAsia="en-US"/>
        </w:rPr>
        <w:t>reafirmó</w:t>
      </w:r>
      <w:r w:rsidR="00BC3121" w:rsidRPr="00D64D74">
        <w:rPr>
          <w:rFonts w:ascii="Verdana" w:eastAsia="Calibri" w:hAnsi="Verdana"/>
          <w:sz w:val="32"/>
          <w:szCs w:val="32"/>
          <w:lang w:val="es-MX" w:eastAsia="en-US"/>
        </w:rPr>
        <w:t xml:space="preserve"> </w:t>
      </w:r>
      <w:r w:rsidR="00745C20">
        <w:rPr>
          <w:rFonts w:ascii="Verdana" w:eastAsia="Calibri" w:hAnsi="Verdana"/>
          <w:sz w:val="32"/>
          <w:szCs w:val="32"/>
          <w:lang w:val="es-MX" w:eastAsia="en-US"/>
        </w:rPr>
        <w:t>la necesidad del respeto a la debida independencia y autonomía de los jueces del país, sin perjuicio de reconocer aquella atribución del Congreso Nacional.</w:t>
      </w:r>
    </w:p>
    <w:p w:rsidR="00EA01E5" w:rsidRPr="00D64D74" w:rsidRDefault="00EA01E5" w:rsidP="006132CA">
      <w:pPr>
        <w:spacing w:line="360" w:lineRule="auto"/>
        <w:ind w:firstLine="708"/>
        <w:jc w:val="both"/>
        <w:rPr>
          <w:rFonts w:ascii="Verdana" w:eastAsia="Calibri" w:hAnsi="Verdana"/>
          <w:sz w:val="32"/>
          <w:szCs w:val="32"/>
          <w:lang w:val="es-MX" w:eastAsia="en-US"/>
        </w:rPr>
      </w:pPr>
    </w:p>
    <w:p w:rsidR="008C7407" w:rsidRPr="00D64D74" w:rsidRDefault="00060D3D" w:rsidP="006132CA">
      <w:pPr>
        <w:spacing w:line="360" w:lineRule="auto"/>
        <w:ind w:firstLine="708"/>
        <w:jc w:val="both"/>
        <w:rPr>
          <w:rFonts w:ascii="Verdana" w:hAnsi="Verdana"/>
          <w:sz w:val="32"/>
          <w:szCs w:val="32"/>
          <w:lang w:val="es-MX"/>
        </w:rPr>
      </w:pPr>
      <w:r>
        <w:rPr>
          <w:rFonts w:ascii="Verdana" w:hAnsi="Verdana"/>
          <w:sz w:val="32"/>
          <w:szCs w:val="32"/>
          <w:lang w:val="es-MX"/>
        </w:rPr>
        <w:t>E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sta </w:t>
      </w:r>
      <w:r w:rsidR="0085773D" w:rsidRPr="00D64D74">
        <w:rPr>
          <w:rFonts w:ascii="Verdana" w:hAnsi="Verdana"/>
          <w:sz w:val="32"/>
          <w:szCs w:val="32"/>
          <w:lang w:val="es-MX"/>
        </w:rPr>
        <w:t>situación</w:t>
      </w:r>
      <w:r w:rsidR="002B4257" w:rsidRPr="00D64D74">
        <w:rPr>
          <w:rFonts w:ascii="Verdana" w:hAnsi="Verdana"/>
          <w:sz w:val="32"/>
          <w:szCs w:val="32"/>
          <w:lang w:val="es-MX"/>
        </w:rPr>
        <w:t xml:space="preserve">, producida a </w:t>
      </w:r>
      <w:r>
        <w:rPr>
          <w:rFonts w:ascii="Verdana" w:hAnsi="Verdana"/>
          <w:sz w:val="32"/>
          <w:szCs w:val="32"/>
          <w:lang w:val="es-MX"/>
        </w:rPr>
        <w:t>raíz</w:t>
      </w:r>
      <w:r w:rsidR="002B4257" w:rsidRPr="00D64D74">
        <w:rPr>
          <w:rFonts w:ascii="Verdana" w:hAnsi="Verdana"/>
          <w:sz w:val="32"/>
          <w:szCs w:val="32"/>
          <w:lang w:val="es-MX"/>
        </w:rPr>
        <w:t xml:space="preserve"> de</w:t>
      </w:r>
      <w:r w:rsidR="005E1A9B" w:rsidRPr="00D64D74">
        <w:rPr>
          <w:rFonts w:ascii="Verdana" w:hAnsi="Verdana"/>
          <w:sz w:val="32"/>
          <w:szCs w:val="32"/>
          <w:lang w:val="es-MX"/>
        </w:rPr>
        <w:t xml:space="preserve">l </w:t>
      </w:r>
      <w:r w:rsidR="002B4257" w:rsidRPr="00D64D74">
        <w:rPr>
          <w:rFonts w:ascii="Verdana" w:hAnsi="Verdana"/>
          <w:sz w:val="32"/>
          <w:szCs w:val="32"/>
          <w:lang w:val="es-MX"/>
        </w:rPr>
        <w:t>lamentable</w:t>
      </w:r>
      <w:r w:rsidR="005E1A9B" w:rsidRPr="00D64D74">
        <w:rPr>
          <w:rFonts w:ascii="Verdana" w:hAnsi="Verdana"/>
          <w:sz w:val="32"/>
          <w:szCs w:val="32"/>
          <w:lang w:val="es-MX"/>
        </w:rPr>
        <w:t xml:space="preserve"> crimen de una adolescente</w:t>
      </w:r>
      <w:r w:rsidR="002B4257" w:rsidRPr="00D64D74">
        <w:rPr>
          <w:rFonts w:ascii="Verdana" w:hAnsi="Verdana"/>
          <w:sz w:val="32"/>
          <w:szCs w:val="32"/>
          <w:lang w:val="es-MX"/>
        </w:rPr>
        <w:t>,</w:t>
      </w:r>
      <w:r w:rsidR="0085773D" w:rsidRPr="00D64D74">
        <w:rPr>
          <w:rFonts w:ascii="Verdana" w:hAnsi="Verdana"/>
          <w:sz w:val="32"/>
          <w:szCs w:val="32"/>
          <w:lang w:val="es-MX"/>
        </w:rPr>
        <w:t xml:space="preserve"> puso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 </w:t>
      </w:r>
      <w:r w:rsidR="0085773D" w:rsidRPr="00D64D74">
        <w:rPr>
          <w:rFonts w:ascii="Verdana" w:hAnsi="Verdana"/>
          <w:sz w:val="32"/>
          <w:szCs w:val="32"/>
          <w:lang w:val="es-MX"/>
        </w:rPr>
        <w:t xml:space="preserve">nuevamente en el tapete la </w:t>
      </w:r>
      <w:r w:rsidR="0014025A" w:rsidRPr="00D64D74">
        <w:rPr>
          <w:rFonts w:ascii="Verdana" w:hAnsi="Verdana"/>
          <w:sz w:val="32"/>
          <w:szCs w:val="32"/>
          <w:lang w:val="es-MX"/>
        </w:rPr>
        <w:t>urgencia</w:t>
      </w:r>
      <w:r w:rsidR="0085773D" w:rsidRPr="00D64D74">
        <w:rPr>
          <w:rFonts w:ascii="Verdana" w:hAnsi="Verdana"/>
          <w:sz w:val="32"/>
          <w:szCs w:val="32"/>
          <w:lang w:val="es-MX"/>
        </w:rPr>
        <w:t xml:space="preserve"> de reformar </w:t>
      </w:r>
      <w:r w:rsidR="0014025A" w:rsidRPr="00D64D74">
        <w:rPr>
          <w:rFonts w:ascii="Verdana" w:hAnsi="Verdana"/>
          <w:sz w:val="32"/>
          <w:szCs w:val="32"/>
          <w:lang w:val="es-MX"/>
        </w:rPr>
        <w:t>nuestro</w:t>
      </w:r>
      <w:r w:rsidR="0014025A" w:rsidRPr="00D64D74">
        <w:rPr>
          <w:rFonts w:ascii="Verdana" w:hAnsi="Verdana"/>
          <w:bCs/>
          <w:sz w:val="32"/>
          <w:szCs w:val="32"/>
          <w:lang w:val="es-MX"/>
        </w:rPr>
        <w:t xml:space="preserve"> frágil</w:t>
      </w:r>
      <w:r w:rsidR="008C7407" w:rsidRPr="00D64D74">
        <w:rPr>
          <w:rFonts w:ascii="Verdana" w:hAnsi="Verdana"/>
          <w:bCs/>
          <w:sz w:val="32"/>
          <w:szCs w:val="32"/>
          <w:lang w:val="es-MX"/>
        </w:rPr>
        <w:t xml:space="preserve"> </w:t>
      </w:r>
      <w:r w:rsidR="008C7407" w:rsidRPr="00401CEC">
        <w:rPr>
          <w:rFonts w:ascii="Verdana" w:hAnsi="Verdana"/>
          <w:b/>
          <w:bCs/>
          <w:sz w:val="32"/>
          <w:szCs w:val="32"/>
          <w:lang w:val="es-MX"/>
        </w:rPr>
        <w:t xml:space="preserve">sistema </w:t>
      </w:r>
      <w:r w:rsidR="0085773D" w:rsidRPr="00401CEC">
        <w:rPr>
          <w:rFonts w:ascii="Verdana" w:hAnsi="Verdana"/>
          <w:b/>
          <w:bCs/>
          <w:sz w:val="32"/>
          <w:szCs w:val="32"/>
          <w:lang w:val="es-MX"/>
        </w:rPr>
        <w:t>de</w:t>
      </w:r>
      <w:r w:rsidR="008C7407" w:rsidRPr="00401CEC">
        <w:rPr>
          <w:rFonts w:ascii="Verdana" w:hAnsi="Verdana"/>
          <w:b/>
          <w:bCs/>
          <w:sz w:val="32"/>
          <w:szCs w:val="32"/>
          <w:lang w:val="es-MX"/>
        </w:rPr>
        <w:t xml:space="preserve"> cumplimiento de penas</w:t>
      </w:r>
      <w:r w:rsidR="0085773D" w:rsidRPr="00D64D74">
        <w:rPr>
          <w:rFonts w:ascii="Verdana" w:hAnsi="Verdana"/>
          <w:sz w:val="32"/>
          <w:szCs w:val="32"/>
          <w:lang w:val="es-MX"/>
        </w:rPr>
        <w:t xml:space="preserve">. Ya son </w:t>
      </w:r>
      <w:r w:rsidR="002B4257" w:rsidRPr="00D64D74">
        <w:rPr>
          <w:rFonts w:ascii="Verdana" w:hAnsi="Verdana"/>
          <w:sz w:val="32"/>
          <w:szCs w:val="32"/>
          <w:lang w:val="es-MX"/>
        </w:rPr>
        <w:t xml:space="preserve">varias </w:t>
      </w:r>
      <w:r w:rsidR="0085773D" w:rsidRPr="00D64D74">
        <w:rPr>
          <w:rFonts w:ascii="Verdana" w:hAnsi="Verdana"/>
          <w:sz w:val="32"/>
          <w:szCs w:val="32"/>
          <w:lang w:val="es-MX"/>
        </w:rPr>
        <w:t xml:space="preserve">las ocasiones 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en que </w:t>
      </w:r>
      <w:r w:rsidR="00911F26">
        <w:rPr>
          <w:rFonts w:ascii="Verdana" w:hAnsi="Verdana"/>
          <w:sz w:val="32"/>
          <w:szCs w:val="32"/>
          <w:lang w:val="es-MX"/>
        </w:rPr>
        <w:t>hemos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 </w:t>
      </w:r>
      <w:r w:rsidR="0014025A" w:rsidRPr="00D64D74">
        <w:rPr>
          <w:rFonts w:ascii="Verdana" w:hAnsi="Verdana"/>
          <w:sz w:val="32"/>
          <w:szCs w:val="32"/>
          <w:lang w:val="es-MX"/>
        </w:rPr>
        <w:t>insisti</w:t>
      </w:r>
      <w:r w:rsidR="0085773D" w:rsidRPr="00D64D74">
        <w:rPr>
          <w:rFonts w:ascii="Verdana" w:hAnsi="Verdana"/>
          <w:sz w:val="32"/>
          <w:szCs w:val="32"/>
          <w:lang w:val="es-MX"/>
        </w:rPr>
        <w:t>do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 </w:t>
      </w:r>
      <w:r w:rsidR="0014025A" w:rsidRPr="00D64D74">
        <w:rPr>
          <w:rFonts w:ascii="Verdana" w:hAnsi="Verdana"/>
          <w:sz w:val="32"/>
          <w:szCs w:val="32"/>
          <w:lang w:val="es-MX"/>
        </w:rPr>
        <w:t xml:space="preserve">en </w:t>
      </w:r>
      <w:r w:rsidR="008C7407" w:rsidRPr="00D64D74">
        <w:rPr>
          <w:rFonts w:ascii="Verdana" w:hAnsi="Verdana"/>
          <w:sz w:val="32"/>
          <w:szCs w:val="32"/>
          <w:lang w:val="es-MX"/>
        </w:rPr>
        <w:t>la nece</w:t>
      </w:r>
      <w:r w:rsidR="0085773D" w:rsidRPr="00D64D74">
        <w:rPr>
          <w:rFonts w:ascii="Verdana" w:hAnsi="Verdana"/>
          <w:sz w:val="32"/>
          <w:szCs w:val="32"/>
          <w:lang w:val="es-MX"/>
        </w:rPr>
        <w:t>sidad de contar con un sistema de ejecución penal serio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 y</w:t>
      </w:r>
      <w:r w:rsidR="0014025A" w:rsidRPr="00D64D74">
        <w:rPr>
          <w:rFonts w:ascii="Verdana" w:hAnsi="Verdana"/>
          <w:sz w:val="32"/>
          <w:szCs w:val="32"/>
          <w:lang w:val="es-MX"/>
        </w:rPr>
        <w:t xml:space="preserve"> robusto</w:t>
      </w:r>
      <w:r w:rsidR="0085773D" w:rsidRPr="00D64D74">
        <w:rPr>
          <w:rFonts w:ascii="Verdana" w:hAnsi="Verdana"/>
          <w:sz w:val="32"/>
          <w:szCs w:val="32"/>
          <w:lang w:val="es-MX"/>
        </w:rPr>
        <w:t>,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 </w:t>
      </w:r>
      <w:r w:rsidR="0014025A" w:rsidRPr="00D64D74">
        <w:rPr>
          <w:rFonts w:ascii="Verdana" w:hAnsi="Verdana"/>
          <w:sz w:val="32"/>
          <w:szCs w:val="32"/>
          <w:lang w:val="es-MX"/>
        </w:rPr>
        <w:t xml:space="preserve">que debiera contemplar, </w:t>
      </w:r>
      <w:r w:rsidR="008C7407" w:rsidRPr="00D64D74">
        <w:rPr>
          <w:rFonts w:ascii="Verdana" w:hAnsi="Verdana"/>
          <w:sz w:val="32"/>
          <w:szCs w:val="32"/>
          <w:lang w:val="es-MX"/>
        </w:rPr>
        <w:t>particularmente</w:t>
      </w:r>
      <w:r w:rsidR="0085773D" w:rsidRPr="00D64D74">
        <w:rPr>
          <w:rFonts w:ascii="Verdana" w:hAnsi="Verdana"/>
          <w:sz w:val="32"/>
          <w:szCs w:val="32"/>
          <w:lang w:val="es-MX"/>
        </w:rPr>
        <w:t>,</w:t>
      </w:r>
      <w:r w:rsidR="008C7407" w:rsidRPr="00D64D74">
        <w:rPr>
          <w:rFonts w:ascii="Verdana" w:hAnsi="Verdana"/>
          <w:sz w:val="32"/>
          <w:szCs w:val="32"/>
          <w:lang w:val="es-MX"/>
        </w:rPr>
        <w:t xml:space="preserve"> </w:t>
      </w:r>
      <w:r w:rsidR="008C7407" w:rsidRPr="00D64D74">
        <w:rPr>
          <w:rFonts w:ascii="Verdana" w:hAnsi="Verdana"/>
          <w:b/>
          <w:sz w:val="32"/>
          <w:szCs w:val="32"/>
          <w:lang w:val="es-MX"/>
        </w:rPr>
        <w:t>tribunales de ejecución</w:t>
      </w:r>
      <w:r w:rsidR="008C7407" w:rsidRPr="00D64D74">
        <w:rPr>
          <w:rFonts w:ascii="Verdana" w:hAnsi="Verdana"/>
          <w:sz w:val="32"/>
          <w:szCs w:val="32"/>
          <w:lang w:val="es-MX"/>
        </w:rPr>
        <w:t>.</w:t>
      </w:r>
      <w:r w:rsidR="0014025A" w:rsidRPr="00D64D74">
        <w:rPr>
          <w:rFonts w:ascii="Verdana" w:hAnsi="Verdana"/>
          <w:sz w:val="32"/>
          <w:szCs w:val="32"/>
          <w:lang w:val="es-MX"/>
        </w:rPr>
        <w:t xml:space="preserve"> </w:t>
      </w:r>
    </w:p>
    <w:p w:rsidR="008C7407" w:rsidRPr="00D64D74" w:rsidRDefault="008C7407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MX" w:eastAsia="en-US"/>
        </w:rPr>
      </w:pPr>
    </w:p>
    <w:p w:rsidR="00754FF0" w:rsidRPr="00D64D74" w:rsidRDefault="00093AD9" w:rsidP="006132CA">
      <w:pPr>
        <w:pStyle w:val="Ttulo2"/>
        <w:spacing w:before="0" w:after="0" w:line="360" w:lineRule="auto"/>
      </w:pPr>
      <w:bookmarkStart w:id="22" w:name="_Toc65244178"/>
      <w:r w:rsidRPr="00D64D74">
        <w:t xml:space="preserve">Trabajo </w:t>
      </w:r>
      <w:r w:rsidR="00FF6C6B" w:rsidRPr="00D64D74">
        <w:t xml:space="preserve">colaborativo </w:t>
      </w:r>
      <w:r w:rsidR="009F56EA" w:rsidRPr="00D64D74">
        <w:t>y relación con la comunidad</w:t>
      </w:r>
      <w:bookmarkEnd w:id="22"/>
    </w:p>
    <w:p w:rsidR="00EA01E5" w:rsidRPr="00D64D74" w:rsidRDefault="00EA01E5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D2B35" w:rsidRDefault="007032C8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>En otro orden de cosas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>
        <w:rPr>
          <w:rFonts w:ascii="Verdana" w:eastAsia="Verdana" w:hAnsi="Verdana" w:cs="Verdana"/>
          <w:sz w:val="32"/>
          <w:szCs w:val="32"/>
          <w:lang w:val="es-CL"/>
        </w:rPr>
        <w:t xml:space="preserve">quiero destacar que 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hemos estado permanentemente disponibles para </w:t>
      </w:r>
      <w:r w:rsidR="0027532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trabajar 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con el Ejecutivo en iniciativas que promuevan la mejora en el acceso e impartición de justicia. A las tareas que </w:t>
      </w:r>
      <w:r w:rsidR="0027532A" w:rsidRPr="00D64D74">
        <w:rPr>
          <w:rFonts w:ascii="Verdana" w:eastAsia="Verdana" w:hAnsi="Verdana" w:cs="Verdana"/>
          <w:sz w:val="32"/>
          <w:szCs w:val="32"/>
          <w:lang w:val="es-CL"/>
        </w:rPr>
        <w:t>realizamos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la </w:t>
      </w:r>
      <w:r w:rsidR="007D2B35" w:rsidRPr="00D64D74">
        <w:rPr>
          <w:rFonts w:ascii="Verdana" w:eastAsia="Verdana" w:hAnsi="Verdana" w:cs="Verdana"/>
          <w:b/>
          <w:sz w:val="32"/>
          <w:szCs w:val="32"/>
          <w:lang w:val="es-CL"/>
        </w:rPr>
        <w:t>Comisión Coordinadora del Sistema de Justicia Penal</w:t>
      </w:r>
      <w:r w:rsidR="0027532A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se suma la </w:t>
      </w:r>
      <w:r>
        <w:rPr>
          <w:rFonts w:ascii="Verdana" w:eastAsia="Verdana" w:hAnsi="Verdana" w:cs="Verdana"/>
          <w:sz w:val="32"/>
          <w:szCs w:val="32"/>
          <w:lang w:val="es-CL"/>
        </w:rPr>
        <w:t>continua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entrega de información estadística </w:t>
      </w:r>
      <w:r w:rsidR="004655C7" w:rsidRPr="00D64D74">
        <w:rPr>
          <w:rFonts w:ascii="Verdana" w:eastAsia="Verdana" w:hAnsi="Verdana" w:cs="Verdana"/>
          <w:sz w:val="32"/>
          <w:szCs w:val="32"/>
          <w:lang w:val="es-CL"/>
        </w:rPr>
        <w:t>al Ministerio de Justicia y Derechos Humanos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los más diversos ámbitos, así como la provisión de informes y antecedentes judiciales en el contexto de la interacción </w:t>
      </w:r>
      <w:r>
        <w:rPr>
          <w:rFonts w:ascii="Verdana" w:eastAsia="Verdana" w:hAnsi="Verdana" w:cs="Verdana"/>
          <w:sz w:val="32"/>
          <w:szCs w:val="32"/>
          <w:lang w:val="es-CL"/>
        </w:rPr>
        <w:t>del E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stado de Chile con órganos de tratados, la Comisión Interamericana y la Corte Interamericana de </w:t>
      </w:r>
      <w:r w:rsidR="009011BA" w:rsidRPr="00D64D74">
        <w:rPr>
          <w:rFonts w:ascii="Verdana" w:eastAsia="Verdana" w:hAnsi="Verdana" w:cs="Verdana"/>
          <w:sz w:val="32"/>
          <w:szCs w:val="32"/>
          <w:lang w:val="es-CL"/>
        </w:rPr>
        <w:t>Derechos Humanos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</w:t>
      </w:r>
      <w:r>
        <w:rPr>
          <w:rFonts w:ascii="Verdana" w:eastAsia="Verdana" w:hAnsi="Verdana" w:cs="Verdana"/>
          <w:sz w:val="32"/>
          <w:szCs w:val="32"/>
          <w:lang w:val="es-CL"/>
        </w:rPr>
        <w:t>así como</w:t>
      </w:r>
      <w:r w:rsidR="007D2B35"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diversas instancias de trabajo.</w:t>
      </w:r>
    </w:p>
    <w:p w:rsidR="00FC1492" w:rsidRPr="00D64D74" w:rsidRDefault="00FC1492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2B4257" w:rsidRPr="003560D7" w:rsidRDefault="00B57ACC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3560D7">
        <w:rPr>
          <w:rFonts w:ascii="Verdana" w:eastAsia="Verdana" w:hAnsi="Verdana" w:cs="Verdana"/>
          <w:sz w:val="32"/>
          <w:szCs w:val="32"/>
          <w:lang w:val="es-CL"/>
        </w:rPr>
        <w:t xml:space="preserve">En ese marco, hemos también discutido nuevamente en el Pleno los caminos que podría seguir una </w:t>
      </w:r>
      <w:r w:rsidRPr="003560D7">
        <w:rPr>
          <w:rFonts w:ascii="Verdana" w:eastAsia="Verdana" w:hAnsi="Verdana" w:cs="Verdana"/>
          <w:b/>
          <w:sz w:val="32"/>
          <w:szCs w:val="32"/>
          <w:lang w:val="es-CL"/>
        </w:rPr>
        <w:t>reforma al sistema de justicia en materia contenciosa administrativa</w:t>
      </w:r>
      <w:r w:rsidRPr="003560D7">
        <w:rPr>
          <w:rFonts w:ascii="Verdana" w:eastAsia="Verdana" w:hAnsi="Verdana" w:cs="Verdana"/>
          <w:sz w:val="32"/>
          <w:szCs w:val="32"/>
          <w:lang w:val="es-CL"/>
        </w:rPr>
        <w:t xml:space="preserve">, cuyas conclusiones serán puestas a disposición de la citada </w:t>
      </w:r>
      <w:r w:rsidR="004655C7" w:rsidRPr="003560D7">
        <w:rPr>
          <w:rFonts w:ascii="Verdana" w:eastAsia="Verdana" w:hAnsi="Verdana" w:cs="Verdana"/>
          <w:sz w:val="32"/>
          <w:szCs w:val="32"/>
          <w:lang w:val="es-CL"/>
        </w:rPr>
        <w:t>c</w:t>
      </w:r>
      <w:r w:rsidRPr="003560D7">
        <w:rPr>
          <w:rFonts w:ascii="Verdana" w:eastAsia="Verdana" w:hAnsi="Verdana" w:cs="Verdana"/>
          <w:sz w:val="32"/>
          <w:szCs w:val="32"/>
          <w:lang w:val="es-CL"/>
        </w:rPr>
        <w:t xml:space="preserve">artera para dar continuidad al trabajo que están desarrollando para este objetivo. </w:t>
      </w:r>
    </w:p>
    <w:p w:rsidR="00EA01E5" w:rsidRPr="003560D7" w:rsidRDefault="00EA01E5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B57ACC" w:rsidRPr="00D64D74" w:rsidRDefault="00B57ACC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3560D7">
        <w:rPr>
          <w:rFonts w:ascii="Verdana" w:eastAsia="Verdana" w:hAnsi="Verdana" w:cs="Verdana"/>
          <w:sz w:val="32"/>
          <w:szCs w:val="32"/>
          <w:lang w:val="es-CL"/>
        </w:rPr>
        <w:t xml:space="preserve">Otro tanto hicimos con una propuesta de </w:t>
      </w:r>
      <w:r w:rsidR="008C1855" w:rsidRPr="003560D7">
        <w:rPr>
          <w:rFonts w:ascii="Verdana" w:eastAsia="Verdana" w:hAnsi="Verdana" w:cs="Verdana"/>
          <w:b/>
          <w:sz w:val="32"/>
          <w:szCs w:val="32"/>
          <w:lang w:val="es-CL"/>
        </w:rPr>
        <w:t>división y especialización de Cortes de Apelaciones</w:t>
      </w:r>
      <w:r w:rsidRPr="003560D7">
        <w:rPr>
          <w:rFonts w:ascii="Verdana" w:eastAsia="Verdana" w:hAnsi="Verdana" w:cs="Verdana"/>
          <w:sz w:val="32"/>
          <w:szCs w:val="32"/>
          <w:lang w:val="es-CL"/>
        </w:rPr>
        <w:t>, manteniéndonos a la espera de las decisiones que se adopten en orden a impulsar un proyecto de este tipo.</w:t>
      </w:r>
    </w:p>
    <w:p w:rsidR="007D2B35" w:rsidRPr="00D64D74" w:rsidRDefault="007D2B35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7D2B35" w:rsidRPr="00D64D74" w:rsidRDefault="007D2B35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También hemos </w:t>
      </w:r>
      <w:r w:rsidR="004655C7" w:rsidRPr="00D64D74">
        <w:rPr>
          <w:rFonts w:ascii="Verdana" w:eastAsia="Verdana" w:hAnsi="Verdana" w:cs="Verdana"/>
          <w:sz w:val="32"/>
          <w:szCs w:val="32"/>
          <w:lang w:val="es-CL"/>
        </w:rPr>
        <w:t>participado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 instancias interinstitucionales que </w:t>
      </w:r>
      <w:r w:rsidR="004655C7" w:rsidRPr="00D64D74">
        <w:rPr>
          <w:rFonts w:ascii="Verdana" w:eastAsia="Verdana" w:hAnsi="Verdana" w:cs="Verdana"/>
          <w:sz w:val="32"/>
          <w:szCs w:val="32"/>
          <w:lang w:val="es-CL"/>
        </w:rPr>
        <w:t xml:space="preserve">dirigen otros organismos, como 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la Mesa de Trabajo sobre </w:t>
      </w:r>
      <w:r w:rsidRPr="00D64D74">
        <w:rPr>
          <w:rFonts w:ascii="Verdana" w:eastAsia="Verdana" w:hAnsi="Verdana" w:cs="Verdana"/>
          <w:b/>
          <w:sz w:val="32"/>
          <w:szCs w:val="32"/>
          <w:lang w:val="es-CL"/>
        </w:rPr>
        <w:t>pagos de pensiones de alimentos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>, dirigida por el Ministerio de la Mujer y Equidad de Género</w:t>
      </w:r>
      <w:r w:rsidR="00B57ACC" w:rsidRPr="00D64D74">
        <w:rPr>
          <w:rFonts w:ascii="Verdana" w:eastAsia="Verdana" w:hAnsi="Verdana" w:cs="Verdana"/>
          <w:sz w:val="32"/>
          <w:szCs w:val="32"/>
          <w:lang w:val="es-CL"/>
        </w:rPr>
        <w:t>, aportando información estadística y sustantiva para la mejor toma de decisiones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7D2B35" w:rsidRPr="00D64D74" w:rsidRDefault="007D2B35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967CAB" w:rsidRPr="00D64D74" w:rsidRDefault="008A6EA7" w:rsidP="006132CA">
      <w:pPr>
        <w:spacing w:line="360" w:lineRule="auto"/>
        <w:jc w:val="both"/>
        <w:rPr>
          <w:rFonts w:ascii="Verdana" w:eastAsia="Verdana" w:hAnsi="Verdana" w:cs="Verdana"/>
          <w:b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ab/>
        <w:t>Esperamos también estrechar estos lazos con el legislativo, manteniendo siempre en equilibrio los roles institucion</w:t>
      </w:r>
      <w:r w:rsidR="004655C7" w:rsidRPr="00D64D74">
        <w:rPr>
          <w:rFonts w:ascii="Verdana" w:eastAsia="Verdana" w:hAnsi="Verdana" w:cs="Verdana"/>
          <w:sz w:val="32"/>
          <w:szCs w:val="32"/>
          <w:lang w:val="es-CL"/>
        </w:rPr>
        <w:t>ales que a cada uno le competen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y del papel que como colegislador corresponde al Ejecutivo en esta interacción.</w:t>
      </w:r>
      <w:r w:rsidR="008C1855" w:rsidRPr="00D64D74">
        <w:rPr>
          <w:rFonts w:ascii="Verdana" w:eastAsia="Verdana" w:hAnsi="Verdana" w:cs="Verdana"/>
          <w:b/>
          <w:sz w:val="32"/>
          <w:szCs w:val="32"/>
          <w:lang w:val="es-CL"/>
        </w:rPr>
        <w:t xml:space="preserve"> </w:t>
      </w:r>
    </w:p>
    <w:p w:rsidR="004655C7" w:rsidRPr="00D64D74" w:rsidRDefault="004655C7" w:rsidP="006132CA">
      <w:pPr>
        <w:spacing w:line="360" w:lineRule="auto"/>
        <w:jc w:val="both"/>
        <w:rPr>
          <w:rFonts w:ascii="Verdana" w:eastAsia="Verdana" w:hAnsi="Verdana" w:cs="Verdana"/>
          <w:b/>
          <w:sz w:val="32"/>
          <w:szCs w:val="32"/>
          <w:lang w:val="es-CL"/>
        </w:rPr>
      </w:pPr>
    </w:p>
    <w:p w:rsidR="00792801" w:rsidRPr="00D64D74" w:rsidRDefault="00967CAB" w:rsidP="006132CA">
      <w:pPr>
        <w:pStyle w:val="Ttulo2"/>
        <w:spacing w:before="0" w:after="0" w:line="360" w:lineRule="auto"/>
        <w:jc w:val="both"/>
      </w:pPr>
      <w:bookmarkStart w:id="23" w:name="_Toc65244179"/>
      <w:r w:rsidRPr="00D64D74">
        <w:t>Convenios suscritos</w:t>
      </w:r>
      <w:r w:rsidR="006306AD" w:rsidRPr="00D64D74">
        <w:t>. El trabajo colaborativo con Universidades para el buscador de fallos.</w:t>
      </w:r>
      <w:bookmarkEnd w:id="23"/>
    </w:p>
    <w:p w:rsidR="00967CAB" w:rsidRPr="00D64D74" w:rsidRDefault="00967CA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967CAB" w:rsidRDefault="00320C92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>
        <w:rPr>
          <w:rFonts w:ascii="Verdana" w:eastAsia="Calibri" w:hAnsi="Verdana" w:cs="Times New Roman"/>
          <w:sz w:val="32"/>
          <w:szCs w:val="32"/>
          <w:lang w:val="es-CL" w:eastAsia="en-US"/>
        </w:rPr>
        <w:t>Fortaleciendo la colaboración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con </w:t>
      </w:r>
      <w:r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otras 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instituciones, </w:t>
      </w:r>
      <w:r w:rsidR="004655C7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en 2020 </w:t>
      </w:r>
      <w:r>
        <w:rPr>
          <w:rFonts w:ascii="Verdana" w:eastAsia="Calibri" w:hAnsi="Verdana" w:cs="Times New Roman"/>
          <w:sz w:val="32"/>
          <w:szCs w:val="32"/>
          <w:lang w:val="es-CL" w:eastAsia="en-US"/>
        </w:rPr>
        <w:t>suscribimos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un total de 35 convenios</w:t>
      </w:r>
      <w:r w:rsidR="006306AD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Entre ellos, quisiera destacar que 31 corresponden a asociaciones con 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18 universidades del país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con el fin de 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nutrir un innovador proyecto que consiste en el desarrollo de un buscador jurisprudencial </w:t>
      </w:r>
      <w:r w:rsidR="002B4257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moderno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 con el propósito de que coadyuve a la labor jurisdiccional y aminore los tiempos de búsqueda de información especializada para las salas de la Corte Suprema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 siendo una herramienta que también estará disponible para el público en el futuro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De este modo, las diversas 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casas de Estudio se encuentran trabajando 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en el análisis de las sentencias para su clasificación y extracción de 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información relevante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En paralelo, se 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está probando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una herramienta de </w:t>
      </w:r>
      <w:r w:rsidR="005363EC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inteligencia artificial 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que servirá</w:t>
      </w:r>
      <w:r w:rsidR="00967CA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de apoyo para agilizar y optimizar los procesos que ayudan a clasificar las sentencias</w:t>
      </w:r>
      <w:r w:rsidR="000F4BB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</w:t>
      </w:r>
      <w:r w:rsidR="005F2A84" w:rsidRPr="003560D7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En este proyecto la ministra saliente señora María Eugenia Sandoval ha cumplido un rol excepcional, coordinando la acción de los equipos de </w:t>
      </w:r>
      <w:r w:rsidR="005363EC" w:rsidRPr="003560D7">
        <w:rPr>
          <w:rFonts w:ascii="Verdana" w:eastAsia="Calibri" w:hAnsi="Verdana" w:cs="Times New Roman"/>
          <w:sz w:val="32"/>
          <w:szCs w:val="32"/>
          <w:lang w:val="es-CL" w:eastAsia="en-US"/>
        </w:rPr>
        <w:t>las universidades</w:t>
      </w:r>
      <w:r w:rsidR="005F2A84" w:rsidRPr="003560D7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5363EC" w:rsidRPr="003560D7">
        <w:rPr>
          <w:rFonts w:ascii="Verdana" w:eastAsia="Calibri" w:hAnsi="Verdana" w:cs="Times New Roman"/>
          <w:sz w:val="32"/>
          <w:szCs w:val="32"/>
          <w:lang w:val="es-CL" w:eastAsia="en-US"/>
        </w:rPr>
        <w:t>involucradas</w:t>
      </w:r>
      <w:r w:rsidR="005F2A84" w:rsidRPr="003560D7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con los equipos internos del Poder Judicial abocados a esta temática.</w:t>
      </w:r>
      <w:r w:rsidR="005F2A84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</w:p>
    <w:p w:rsidR="00FE56EB" w:rsidRPr="00D64D74" w:rsidRDefault="00FE56E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FF6C6B" w:rsidRPr="00D64D74" w:rsidRDefault="00FF6C6B" w:rsidP="006132CA">
      <w:pPr>
        <w:pStyle w:val="Ttulo2"/>
        <w:spacing w:before="0" w:after="0" w:line="360" w:lineRule="auto"/>
      </w:pPr>
      <w:bookmarkStart w:id="24" w:name="_Toc65244180"/>
      <w:r w:rsidRPr="00D64D74">
        <w:t>Cumbre Judicial</w:t>
      </w:r>
      <w:r w:rsidR="008C1855" w:rsidRPr="00D64D74">
        <w:t xml:space="preserve"> Iberoamericana</w:t>
      </w:r>
      <w:bookmarkEnd w:id="24"/>
    </w:p>
    <w:p w:rsidR="00FE56EB" w:rsidRDefault="00FE56E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/>
        </w:rPr>
      </w:pPr>
    </w:p>
    <w:p w:rsidR="001B0B14" w:rsidRPr="00837985" w:rsidRDefault="001B0B14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837985">
        <w:rPr>
          <w:rFonts w:ascii="Verdana" w:hAnsi="Verdana"/>
          <w:sz w:val="32"/>
          <w:szCs w:val="32"/>
          <w:lang w:val="es-CL"/>
        </w:rPr>
        <w:t xml:space="preserve">Durante el año 2020 el Poder Judicial continuó su participación en la </w:t>
      </w:r>
      <w:r w:rsidRPr="00837985">
        <w:rPr>
          <w:rFonts w:ascii="Verdana" w:hAnsi="Verdana"/>
          <w:b/>
          <w:sz w:val="32"/>
          <w:szCs w:val="32"/>
          <w:lang w:val="es-CL"/>
        </w:rPr>
        <w:t>Cumbre Judicial Iberoamericana</w:t>
      </w:r>
      <w:r w:rsidRPr="00837985">
        <w:rPr>
          <w:rFonts w:ascii="Verdana" w:hAnsi="Verdana"/>
          <w:sz w:val="32"/>
          <w:szCs w:val="32"/>
          <w:lang w:val="es-CL"/>
        </w:rPr>
        <w:t xml:space="preserve">, a través de la ejecución de proyectos en sus distintas comisiones permanentes, tales como Lenguaje Claro y Accesible, Mecanismos Alternativos, Restaurativos de Resolución de Conflictos y Tribunales de Tratamientos de Drogas y/o Alcohol (MARC-TTD), Género y Acceso a la Justicia y Ética Judicial. </w:t>
      </w:r>
    </w:p>
    <w:p w:rsidR="001B0B14" w:rsidRPr="00837985" w:rsidRDefault="001B0B14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</w:p>
    <w:p w:rsidR="00B77D70" w:rsidRPr="00837985" w:rsidRDefault="001B0B14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color w:val="404040"/>
          <w:sz w:val="32"/>
          <w:szCs w:val="32"/>
          <w:lang w:val="es-CL"/>
        </w:rPr>
      </w:pPr>
      <w:r w:rsidRPr="00837985">
        <w:rPr>
          <w:rFonts w:ascii="Verdana" w:eastAsia="Calibri" w:hAnsi="Verdana" w:cs="Times New Roman"/>
          <w:sz w:val="32"/>
          <w:szCs w:val="32"/>
          <w:lang w:val="es-CL"/>
        </w:rPr>
        <w:t xml:space="preserve">En diciembre pasado </w:t>
      </w:r>
      <w:r w:rsidR="0063207A" w:rsidRPr="00837985">
        <w:rPr>
          <w:rFonts w:ascii="Verdana" w:eastAsia="Calibri" w:hAnsi="Verdana" w:cs="Times New Roman"/>
          <w:sz w:val="32"/>
          <w:szCs w:val="32"/>
          <w:lang w:val="es-CL"/>
        </w:rPr>
        <w:t xml:space="preserve">la </w:t>
      </w:r>
      <w:r w:rsidRPr="00837985">
        <w:rPr>
          <w:rFonts w:ascii="Verdana" w:eastAsia="Calibri" w:hAnsi="Verdana" w:cs="Times New Roman"/>
          <w:sz w:val="32"/>
          <w:szCs w:val="32"/>
          <w:lang w:val="es-CL"/>
        </w:rPr>
        <w:t>Cumbre celebró, en forma virtual, su vigésima Asamblea Plenaria.</w:t>
      </w:r>
      <w:r w:rsidR="0063207A" w:rsidRPr="00837985">
        <w:rPr>
          <w:rFonts w:ascii="Verdana" w:eastAsia="Calibri" w:hAnsi="Verdana" w:cs="Times New Roman"/>
          <w:sz w:val="32"/>
          <w:szCs w:val="32"/>
          <w:lang w:val="es-CL"/>
        </w:rPr>
        <w:t xml:space="preserve"> </w:t>
      </w:r>
      <w:r w:rsidR="00B77D70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Como productos destacables</w:t>
      </w:r>
      <w:r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 xml:space="preserve"> de ese encuentro</w:t>
      </w:r>
      <w:r w:rsidR="00B77D70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, cabe mencionar la aprobación de documentos relativos a indicadores de independencia y responsabilidad del Poder Judicial; la asignación presupuestaria constitucionalmente garantizada y suficiente</w:t>
      </w:r>
      <w:r w:rsidR="00E20F41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 xml:space="preserve">; </w:t>
      </w:r>
      <w:r w:rsidR="004174E8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 xml:space="preserve">el estatuto </w:t>
      </w:r>
      <w:r w:rsidR="00B77D70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de la Red Iberoamericana de Integridad Judicial y</w:t>
      </w:r>
      <w:r w:rsidR="004174E8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 xml:space="preserve"> las </w:t>
      </w:r>
      <w:r w:rsidR="00B77D70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Buenas prácticas para el desarrollo e implementación de soluciones informáticas para mejorar la eficiencia y eficacia de los procesos de las organizaciones en el sector justicia</w:t>
      </w:r>
      <w:r w:rsidR="004174E8" w:rsidRPr="003560D7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.</w:t>
      </w:r>
    </w:p>
    <w:p w:rsidR="002C6945" w:rsidRPr="00837985" w:rsidRDefault="002C6945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color w:val="404040"/>
          <w:sz w:val="32"/>
          <w:szCs w:val="32"/>
          <w:lang w:val="es-CL"/>
        </w:rPr>
      </w:pPr>
    </w:p>
    <w:p w:rsidR="004174E8" w:rsidRDefault="004174E8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color w:val="404040"/>
          <w:sz w:val="32"/>
          <w:szCs w:val="32"/>
          <w:lang w:val="es-CL"/>
        </w:rPr>
      </w:pPr>
      <w:r w:rsidRPr="00837985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 xml:space="preserve">Mantendremos nuestro ánimo de contribución a la Cumbre, confiados en que el esfuerzo mancomunado multiplica la materialización del acceso a la justicia y su mejora en la </w:t>
      </w:r>
      <w:r w:rsidR="00E20F41" w:rsidRPr="00837985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región</w:t>
      </w:r>
      <w:r w:rsidRPr="00837985">
        <w:rPr>
          <w:rFonts w:ascii="Verdana" w:eastAsia="Calibri" w:hAnsi="Verdana" w:cs="Times New Roman"/>
          <w:color w:val="404040"/>
          <w:sz w:val="32"/>
          <w:szCs w:val="32"/>
          <w:lang w:val="es-CL"/>
        </w:rPr>
        <w:t>.</w:t>
      </w:r>
    </w:p>
    <w:p w:rsidR="00FE56EB" w:rsidRDefault="00FE56E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color w:val="404040"/>
          <w:sz w:val="32"/>
          <w:szCs w:val="32"/>
          <w:lang w:val="es-CL"/>
        </w:rPr>
      </w:pPr>
    </w:p>
    <w:p w:rsidR="002219D3" w:rsidRPr="00FE56EB" w:rsidRDefault="002219D3" w:rsidP="006132CA">
      <w:pPr>
        <w:pStyle w:val="Ttulo2"/>
        <w:spacing w:before="0" w:after="0" w:line="360" w:lineRule="auto"/>
      </w:pPr>
      <w:bookmarkStart w:id="25" w:name="_Toc65244181"/>
      <w:r w:rsidRPr="00FE56EB">
        <w:t>Academia Judicial</w:t>
      </w:r>
      <w:bookmarkEnd w:id="25"/>
    </w:p>
    <w:p w:rsidR="002219D3" w:rsidRPr="00FE56EB" w:rsidRDefault="002219D3" w:rsidP="006132CA">
      <w:pPr>
        <w:spacing w:line="360" w:lineRule="auto"/>
        <w:jc w:val="both"/>
        <w:rPr>
          <w:rFonts w:ascii="Verdana" w:eastAsia="Verdana" w:hAnsi="Verdana" w:cs="Verdana"/>
          <w:b/>
          <w:sz w:val="32"/>
          <w:szCs w:val="32"/>
          <w:lang w:val="es-CL"/>
        </w:rPr>
      </w:pPr>
    </w:p>
    <w:p w:rsidR="002219D3" w:rsidRDefault="00837985" w:rsidP="006132C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49" w:firstLine="720"/>
        <w:jc w:val="both"/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</w:pPr>
      <w:r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>En el ámbito de la formación</w:t>
      </w:r>
      <w:r w:rsidR="002219D3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 xml:space="preserve"> </w:t>
      </w:r>
      <w:r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 xml:space="preserve">y pese a las circunstancias, </w:t>
      </w:r>
      <w:r w:rsidR="002219D3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 xml:space="preserve">la </w:t>
      </w:r>
      <w:r w:rsidR="002219D3" w:rsidRPr="00837985">
        <w:rPr>
          <w:rFonts w:ascii="Verdana" w:eastAsia="Calibri" w:hAnsi="Verdana" w:cs="Calibri"/>
          <w:b/>
          <w:color w:val="000000"/>
          <w:sz w:val="32"/>
          <w:szCs w:val="32"/>
          <w:u w:color="000000"/>
          <w:bdr w:val="nil"/>
          <w:lang w:val="es-MX" w:eastAsia="es-ES"/>
        </w:rPr>
        <w:t>Academia Judicial</w:t>
      </w:r>
      <w:r w:rsidR="002219D3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 xml:space="preserve"> continuó </w:t>
      </w:r>
      <w:r w:rsidR="00944B15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>con</w:t>
      </w:r>
      <w:r w:rsidR="00E20F41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 xml:space="preserve"> </w:t>
      </w:r>
      <w:r w:rsidR="002219D3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MX" w:eastAsia="es-ES"/>
        </w:rPr>
        <w:t xml:space="preserve">su imprescindible labor educativa. </w:t>
      </w:r>
      <w:r w:rsidR="00E20F41" w:rsidRPr="00FE56EB">
        <w:rPr>
          <w:rFonts w:ascii="Verdana" w:eastAsia="Calibri" w:hAnsi="Verdana" w:cs="Calibri"/>
          <w:bCs/>
          <w:sz w:val="32"/>
          <w:szCs w:val="32"/>
          <w:u w:color="000000"/>
          <w:bdr w:val="nil"/>
          <w:lang w:val="es-CL" w:eastAsia="es-ES"/>
        </w:rPr>
        <w:t>R</w:t>
      </w:r>
      <w:r w:rsidR="002219D3" w:rsidRPr="00FE56EB">
        <w:rPr>
          <w:rFonts w:ascii="Verdana" w:eastAsia="Calibri" w:hAnsi="Verdana" w:cs="Calibri"/>
          <w:bCs/>
          <w:sz w:val="32"/>
          <w:szCs w:val="32"/>
          <w:u w:color="000000"/>
          <w:bdr w:val="nil"/>
          <w:lang w:val="es-CL" w:eastAsia="es-ES"/>
        </w:rPr>
        <w:t xml:space="preserve">ealizó por primera vez </w:t>
      </w:r>
      <w:r w:rsidR="002219D3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  <w:t xml:space="preserve">su Programa de Habilitación de modo online, modificó las actividades del Programa de Perfeccionamiento para realizarlas por medios tecnológicos y organizó capacitaciones </w:t>
      </w:r>
      <w:r w:rsidR="00E20F41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  <w:t xml:space="preserve">y cursos </w:t>
      </w:r>
      <w:r w:rsidR="002219D3" w:rsidRPr="00FE56EB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  <w:t>para asegurar la implementación de la Ley de Entrevistas Videograbadas.</w:t>
      </w:r>
      <w:r w:rsidR="002219D3" w:rsidRPr="00D64D74"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  <w:t xml:space="preserve"> </w:t>
      </w:r>
    </w:p>
    <w:p w:rsidR="006132CA" w:rsidRDefault="006132CA" w:rsidP="006132C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49" w:firstLine="720"/>
        <w:jc w:val="both"/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</w:pPr>
    </w:p>
    <w:p w:rsidR="000B3E51" w:rsidRPr="003F17BB" w:rsidRDefault="000B3E51" w:rsidP="006132CA">
      <w:pPr>
        <w:pStyle w:val="Ttulo2"/>
        <w:spacing w:before="0" w:after="0" w:line="360" w:lineRule="auto"/>
      </w:pPr>
      <w:bookmarkStart w:id="26" w:name="_Toc65244182"/>
      <w:r w:rsidRPr="003F17BB">
        <w:t>Juramento de abogados</w:t>
      </w:r>
      <w:bookmarkEnd w:id="26"/>
    </w:p>
    <w:p w:rsidR="000B3E51" w:rsidRPr="003F17BB" w:rsidRDefault="000B3E51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0B3E51" w:rsidRPr="003F17BB" w:rsidRDefault="000B3E51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3F17BB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Como señalé, la emergencia sanitaria alteró nuestro funcionamiento, particularmente en aquellos asuntos que tradicionalmente requerían presencialidad. El caso de los </w:t>
      </w:r>
      <w:r w:rsidRPr="003F17BB">
        <w:rPr>
          <w:rFonts w:ascii="Verdana" w:eastAsia="Calibri" w:hAnsi="Verdana" w:cs="Times New Roman"/>
          <w:b/>
          <w:sz w:val="32"/>
          <w:szCs w:val="32"/>
          <w:lang w:val="es-MX" w:eastAsia="en-US"/>
        </w:rPr>
        <w:t>juramentos de abogadas y abogados</w:t>
      </w:r>
      <w:r w:rsidRPr="003F17BB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 no fue la excepción. Sin embargo, también pudimos con bastante prontitud adaptar este rito a la tecnología, celebrando, ya en el mes de abril de 2020, el primer juramento por video conferencia, facilitando con ello la titulación de los egresados y egresadas de Derecho y potenciando la descentralización de este proceso, haciendo partícipes del mismo a las Cortes de Apelaciones del país. </w:t>
      </w:r>
    </w:p>
    <w:p w:rsidR="000B3E51" w:rsidRPr="00D64D74" w:rsidRDefault="000B3E51" w:rsidP="006132CA">
      <w:pPr>
        <w:spacing w:line="360" w:lineRule="auto"/>
        <w:jc w:val="both"/>
        <w:rPr>
          <w:rFonts w:ascii="Verdana" w:eastAsia="Calibri" w:hAnsi="Verdana" w:cs="Times New Roman"/>
          <w:sz w:val="32"/>
          <w:szCs w:val="32"/>
          <w:highlight w:val="yellow"/>
          <w:lang w:val="es-MX" w:eastAsia="en-US"/>
        </w:rPr>
      </w:pPr>
    </w:p>
    <w:p w:rsidR="000B3E51" w:rsidRPr="00D64D74" w:rsidRDefault="000B3E51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MX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MX" w:eastAsia="en-US"/>
        </w:rPr>
        <w:t xml:space="preserve">Con tal medida pudimos celebrar 50 ceremonias,  prestando juramento 4.117 personas, cifra superior a la del 2019 a pesar de haberse realizado menos audiencias. </w:t>
      </w:r>
    </w:p>
    <w:p w:rsidR="000B3E51" w:rsidRDefault="000B3E51" w:rsidP="006132C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49"/>
        <w:jc w:val="both"/>
        <w:rPr>
          <w:rFonts w:ascii="Verdana" w:eastAsia="Calibri" w:hAnsi="Verdana" w:cs="Calibri"/>
          <w:color w:val="000000"/>
          <w:sz w:val="32"/>
          <w:szCs w:val="32"/>
          <w:u w:color="000000"/>
          <w:bdr w:val="nil"/>
          <w:lang w:val="es-CL" w:eastAsia="es-ES"/>
        </w:rPr>
      </w:pPr>
    </w:p>
    <w:p w:rsidR="002219D3" w:rsidRPr="00FE56EB" w:rsidRDefault="002219D3" w:rsidP="006132CA">
      <w:pPr>
        <w:pStyle w:val="Ttulo2"/>
        <w:spacing w:before="0" w:after="0" w:line="360" w:lineRule="auto"/>
      </w:pPr>
      <w:bookmarkStart w:id="27" w:name="_Toc65244183"/>
      <w:r w:rsidRPr="00FE56EB">
        <w:t xml:space="preserve">Modernización </w:t>
      </w:r>
      <w:r w:rsidR="00A2052C" w:rsidRPr="00FE56EB">
        <w:t>permanente</w:t>
      </w:r>
      <w:bookmarkEnd w:id="27"/>
    </w:p>
    <w:p w:rsidR="00183A8C" w:rsidRPr="00FE56EB" w:rsidRDefault="00183A8C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2219D3" w:rsidRPr="00FE56EB" w:rsidRDefault="00837985" w:rsidP="006132CA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  <w:r>
        <w:rPr>
          <w:rFonts w:ascii="Verdana" w:eastAsia="Times New Roman" w:hAnsi="Verdana" w:cs="Times New Roman"/>
          <w:sz w:val="32"/>
          <w:szCs w:val="32"/>
          <w:lang w:val="es-CL" w:eastAsia="en-US"/>
        </w:rPr>
        <w:t>Ya lo hemos dicho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, </w:t>
      </w:r>
      <w:r w:rsidR="002219D3" w:rsidRPr="00FE56EB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>la crisis del COVID</w:t>
      </w:r>
      <w:r w:rsidR="00FA20E5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 xml:space="preserve">-19 </w:t>
      </w:r>
      <w:r w:rsidR="002219D3" w:rsidRPr="00FE56EB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 xml:space="preserve">confirmó que hemos adoptado el camino correcto en cuanto a </w:t>
      </w:r>
      <w:r w:rsidR="002219D3" w:rsidRPr="00FE56EB">
        <w:rPr>
          <w:rFonts w:ascii="Verdana" w:eastAsia="Times New Roman" w:hAnsi="Verdana" w:cs="Times New Roman"/>
          <w:b/>
          <w:bCs/>
          <w:iCs/>
          <w:sz w:val="32"/>
          <w:szCs w:val="32"/>
          <w:lang w:val="es-CL" w:eastAsia="en-US"/>
        </w:rPr>
        <w:t>modernización de la justicia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, </w:t>
      </w:r>
      <w:r w:rsidR="001338A0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>al permitirnos mantener la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continuidad</w:t>
      </w:r>
      <w:r w:rsidR="001338A0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del servicio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, </w:t>
      </w:r>
      <w:r w:rsidR="001338A0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>a través de los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</w:t>
      </w:r>
      <w:r w:rsidR="002219D3" w:rsidRPr="00FE56EB">
        <w:rPr>
          <w:rFonts w:ascii="Verdana" w:eastAsia="Times New Roman" w:hAnsi="Verdana" w:cs="Times New Roman"/>
          <w:b/>
          <w:sz w:val="32"/>
          <w:szCs w:val="32"/>
          <w:lang w:val="es-CL" w:eastAsia="en-US"/>
        </w:rPr>
        <w:t>sistemas de tramitación y de expediente electrónico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y la </w:t>
      </w:r>
      <w:r w:rsidR="002219D3" w:rsidRPr="00FE56EB">
        <w:rPr>
          <w:rFonts w:ascii="Verdana" w:eastAsia="Times New Roman" w:hAnsi="Verdana" w:cs="Times New Roman"/>
          <w:b/>
          <w:sz w:val="32"/>
          <w:szCs w:val="32"/>
          <w:lang w:val="es-CL" w:eastAsia="en-US"/>
        </w:rPr>
        <w:t>Oficina Judicial Virtual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, a lo que se ha sumado la incorporación de </w:t>
      </w:r>
      <w:r w:rsidR="002219D3" w:rsidRPr="00FE56EB">
        <w:rPr>
          <w:rFonts w:ascii="Verdana" w:eastAsia="Times New Roman" w:hAnsi="Verdana" w:cs="Times New Roman"/>
          <w:b/>
          <w:sz w:val="32"/>
          <w:szCs w:val="32"/>
          <w:lang w:val="es-CL" w:eastAsia="en-US"/>
        </w:rPr>
        <w:t>formularios de Trámite Fácil</w:t>
      </w:r>
      <w:r w:rsidR="002219D3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para mejorar las condiciones de acceso de los ciudadanos. </w:t>
      </w:r>
    </w:p>
    <w:p w:rsidR="002219D3" w:rsidRPr="00FE56EB" w:rsidRDefault="002219D3" w:rsidP="006132CA">
      <w:pPr>
        <w:spacing w:line="360" w:lineRule="auto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</w:p>
    <w:p w:rsidR="002219D3" w:rsidRPr="00FE56EB" w:rsidRDefault="002219D3" w:rsidP="006132CA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  <w:r w:rsidRPr="00FE56EB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>Pero nuestros esfuerzos no estuvieron sólo vinculados a mantener la operatividad de los sistemas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, sino también a </w:t>
      </w:r>
      <w:r w:rsidRPr="00FE56EB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 xml:space="preserve">explorar y desarrollar iniciativas que pudiesen </w:t>
      </w:r>
      <w:r w:rsidR="001338A0" w:rsidRPr="00FE56EB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 xml:space="preserve">agregar </w:t>
      </w:r>
      <w:r w:rsidRPr="00FE56EB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>valor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</w:t>
      </w:r>
      <w:r w:rsidR="001338A0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>a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nuestros usuarios, entre los que </w:t>
      </w:r>
      <w:r w:rsidR="00944B15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>destaca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la implementación del </w:t>
      </w:r>
      <w:r w:rsidRPr="00FE56EB">
        <w:rPr>
          <w:rFonts w:ascii="Verdana" w:eastAsia="Times New Roman" w:hAnsi="Verdana" w:cs="Times New Roman"/>
          <w:b/>
          <w:bCs/>
          <w:iCs/>
          <w:sz w:val="32"/>
          <w:szCs w:val="32"/>
          <w:lang w:val="es-CL" w:eastAsia="en-US"/>
        </w:rPr>
        <w:t>proyecto Conecta PJUD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, plataforma omnicanal </w:t>
      </w:r>
      <w:r w:rsidR="00B35E0E" w:rsidRPr="003F17B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que permite a los usuarios contactarse directamente con un funcionario o juez de un tribunal determinado, a través de una videoconferencia o por un sistema de mensajería. </w:t>
      </w:r>
      <w:r w:rsidR="00FA20E5" w:rsidRPr="003F17B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Durante el </w:t>
      </w:r>
      <w:r w:rsidR="00FA05DB">
        <w:rPr>
          <w:rFonts w:ascii="Verdana" w:eastAsia="Times New Roman" w:hAnsi="Verdana" w:cs="Times New Roman"/>
          <w:sz w:val="32"/>
          <w:szCs w:val="32"/>
          <w:lang w:val="es-CL" w:eastAsia="en-US"/>
        </w:rPr>
        <w:t>año pasado</w:t>
      </w:r>
      <w:r w:rsidR="00FA20E5" w:rsidRPr="003F17B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</w:t>
      </w:r>
      <w:r w:rsidR="00B35E0E" w:rsidRPr="003F17B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30 tribunales con competencia en familia </w:t>
      </w:r>
      <w:r w:rsidR="003560D7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iniciaron </w:t>
      </w:r>
      <w:r w:rsidR="00B35E0E" w:rsidRPr="003F17BB">
        <w:rPr>
          <w:rFonts w:ascii="Verdana" w:eastAsia="Times New Roman" w:hAnsi="Verdana" w:cs="Times New Roman"/>
          <w:sz w:val="32"/>
          <w:szCs w:val="32"/>
          <w:lang w:val="es-CL" w:eastAsia="en-US"/>
        </w:rPr>
        <w:t>este proyecto, realiz</w:t>
      </w:r>
      <w:r w:rsidR="00FA05DB">
        <w:rPr>
          <w:rFonts w:ascii="Verdana" w:eastAsia="Times New Roman" w:hAnsi="Verdana" w:cs="Times New Roman"/>
          <w:sz w:val="32"/>
          <w:szCs w:val="32"/>
          <w:lang w:val="es-CL" w:eastAsia="en-US"/>
        </w:rPr>
        <w:t>ándose a la fecha más de 100</w:t>
      </w:r>
      <w:r w:rsidR="00B35E0E" w:rsidRPr="003F17B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mil atenciones remotas. Adicionalmente, se </w:t>
      </w:r>
      <w:r w:rsidR="00FA20E5">
        <w:rPr>
          <w:rFonts w:ascii="Verdana" w:eastAsia="Times New Roman" w:hAnsi="Verdana" w:cs="Times New Roman"/>
          <w:sz w:val="32"/>
          <w:szCs w:val="32"/>
          <w:lang w:val="es-CL" w:eastAsia="en-US"/>
        </w:rPr>
        <w:t>desarrollaron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aplicaciones para tramitar los procesos originados por </w:t>
      </w:r>
      <w:r w:rsidRPr="00FE56EB">
        <w:rPr>
          <w:rFonts w:ascii="Verdana" w:eastAsia="Times New Roman" w:hAnsi="Verdana" w:cs="Times New Roman"/>
          <w:b/>
          <w:bCs/>
          <w:iCs/>
          <w:sz w:val="32"/>
          <w:szCs w:val="32"/>
          <w:lang w:val="es-CL" w:eastAsia="en-US"/>
        </w:rPr>
        <w:t>el artículo 318 del Código Penal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y </w:t>
      </w:r>
      <w:r w:rsidR="00FA20E5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se habilitaron las 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</w:t>
      </w:r>
      <w:r w:rsidRPr="00FE56EB">
        <w:rPr>
          <w:rFonts w:ascii="Verdana" w:eastAsia="Times New Roman" w:hAnsi="Verdana" w:cs="Times New Roman"/>
          <w:b/>
          <w:bCs/>
          <w:iCs/>
          <w:sz w:val="32"/>
          <w:szCs w:val="32"/>
          <w:lang w:val="es-CL" w:eastAsia="en-US"/>
        </w:rPr>
        <w:t>transferencias electrónicas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en todos los sistemas de tramitación que dispone el Poder Judicial, entre otras acciones.</w:t>
      </w:r>
    </w:p>
    <w:p w:rsidR="002219D3" w:rsidRPr="00FE56EB" w:rsidRDefault="002219D3" w:rsidP="006132CA">
      <w:pPr>
        <w:spacing w:line="360" w:lineRule="auto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</w:p>
    <w:p w:rsidR="002219D3" w:rsidRPr="00FE56EB" w:rsidRDefault="002219D3" w:rsidP="006132CA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>Pero nuestra institución está lejos de dar por cumplida la tarea en cuanto a la adopción de innovaciones y nuevas tecnologías. Aquellas ideas que antes valorábamos como “los desafíos del futuro”, hoy const</w:t>
      </w:r>
      <w:r w:rsidR="00944B15"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>ituyen necesidades del presente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y entre ellas podemos mencionar el uso de la</w:t>
      </w:r>
      <w:r w:rsidRPr="00FC1492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</w:t>
      </w:r>
      <w:r w:rsidRPr="00FC1492">
        <w:rPr>
          <w:rFonts w:ascii="Verdana" w:eastAsia="Times New Roman" w:hAnsi="Verdana" w:cs="Times New Roman"/>
          <w:bCs/>
          <w:sz w:val="32"/>
          <w:szCs w:val="32"/>
          <w:lang w:val="es-CL" w:eastAsia="en-US"/>
        </w:rPr>
        <w:t>inteligencia artificial</w:t>
      </w:r>
      <w:r w:rsidRPr="00FC1492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;  el desarrollo de un </w:t>
      </w:r>
      <w:r w:rsidR="00F146DA" w:rsidRPr="00FC1492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>s</w:t>
      </w:r>
      <w:r w:rsidRPr="00FC1492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>istema unificado de tramitación</w:t>
      </w:r>
      <w:r w:rsidRPr="00FC1492">
        <w:rPr>
          <w:rFonts w:ascii="Verdana" w:eastAsia="Times New Roman" w:hAnsi="Verdana" w:cs="Times New Roman"/>
          <w:sz w:val="32"/>
          <w:szCs w:val="32"/>
          <w:lang w:val="es-CL" w:eastAsia="en-US"/>
        </w:rPr>
        <w:t>; la generación de f</w:t>
      </w:r>
      <w:r w:rsidRPr="00FC1492">
        <w:rPr>
          <w:rFonts w:ascii="Verdana" w:eastAsia="Times New Roman" w:hAnsi="Verdana" w:cs="Times New Roman"/>
          <w:bCs/>
          <w:iCs/>
          <w:sz w:val="32"/>
          <w:szCs w:val="32"/>
          <w:lang w:val="es-CL" w:eastAsia="en-US"/>
        </w:rPr>
        <w:t>ormularios de tramitación inteligente</w:t>
      </w:r>
      <w:r w:rsidRPr="00FC1492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; la </w:t>
      </w:r>
      <w:r w:rsidRPr="00FC1492">
        <w:rPr>
          <w:rFonts w:ascii="Verdana" w:eastAsia="Times New Roman" w:hAnsi="Verdana" w:cs="Times New Roman"/>
          <w:bCs/>
          <w:sz w:val="32"/>
          <w:szCs w:val="32"/>
          <w:lang w:val="es-CL" w:eastAsia="en-US"/>
        </w:rPr>
        <w:t>interopera</w:t>
      </w:r>
      <w:r w:rsidR="00F146DA" w:rsidRPr="00FC1492">
        <w:rPr>
          <w:rFonts w:ascii="Verdana" w:eastAsia="Times New Roman" w:hAnsi="Verdana" w:cs="Times New Roman"/>
          <w:bCs/>
          <w:sz w:val="32"/>
          <w:szCs w:val="32"/>
          <w:lang w:val="es-CL" w:eastAsia="en-US"/>
        </w:rPr>
        <w:t>bilidad del Sistema de Justicia</w:t>
      </w:r>
      <w:r w:rsidRPr="00FC1492">
        <w:rPr>
          <w:rFonts w:ascii="Verdana" w:eastAsia="Times New Roman" w:hAnsi="Verdana" w:cs="Times New Roman"/>
          <w:bCs/>
          <w:sz w:val="32"/>
          <w:szCs w:val="32"/>
          <w:lang w:val="es-CL" w:eastAsia="en-US"/>
        </w:rPr>
        <w:t xml:space="preserve"> y la proyección de la i</w:t>
      </w:r>
      <w:r w:rsidRPr="00FC1492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dea de </w:t>
      </w:r>
      <w:r w:rsidRPr="00FC1492">
        <w:rPr>
          <w:rFonts w:ascii="Verdana" w:eastAsia="Times New Roman" w:hAnsi="Verdana" w:cs="Times New Roman"/>
          <w:bCs/>
          <w:sz w:val="32"/>
          <w:szCs w:val="32"/>
          <w:lang w:val="es-CL" w:eastAsia="en-US"/>
        </w:rPr>
        <w:t>jurisdicción en línea</w:t>
      </w:r>
      <w:r w:rsidRPr="00FC1492">
        <w:rPr>
          <w:rFonts w:ascii="Verdana" w:eastAsia="Times New Roman" w:hAnsi="Verdana" w:cs="Times New Roman"/>
          <w:sz w:val="32"/>
          <w:szCs w:val="32"/>
          <w:lang w:val="es-CL" w:eastAsia="en-US"/>
        </w:rPr>
        <w:t>.</w:t>
      </w:r>
    </w:p>
    <w:p w:rsidR="002219D3" w:rsidRPr="00FE56EB" w:rsidRDefault="002219D3" w:rsidP="006132CA">
      <w:pPr>
        <w:spacing w:line="360" w:lineRule="auto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</w:p>
    <w:p w:rsidR="002219D3" w:rsidRDefault="002219D3" w:rsidP="006132CA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Ciertamente, no todas estas implementaciones serán factibles en el corto plazo, pero debemos tener la </w:t>
      </w:r>
      <w:r w:rsidRPr="00FE56EB">
        <w:rPr>
          <w:rFonts w:ascii="Verdana" w:eastAsia="Times New Roman" w:hAnsi="Verdana" w:cs="Times New Roman"/>
          <w:b/>
          <w:bCs/>
          <w:iCs/>
          <w:sz w:val="32"/>
          <w:szCs w:val="32"/>
          <w:lang w:val="es-CL" w:eastAsia="en-US"/>
        </w:rPr>
        <w:t>aspiración de adecuarnos constantemente</w:t>
      </w:r>
      <w:r w:rsidR="001338A0" w:rsidRPr="00FE56EB">
        <w:rPr>
          <w:rFonts w:ascii="Verdana" w:eastAsia="Times New Roman" w:hAnsi="Verdana" w:cs="Times New Roman"/>
          <w:b/>
          <w:bCs/>
          <w:iCs/>
          <w:sz w:val="32"/>
          <w:szCs w:val="32"/>
          <w:lang w:val="es-CL" w:eastAsia="en-US"/>
        </w:rPr>
        <w:t>,</w:t>
      </w:r>
      <w:r w:rsidRPr="00FE56EB">
        <w:rPr>
          <w:rFonts w:ascii="Verdana" w:eastAsia="Times New Roman" w:hAnsi="Verdana" w:cs="Times New Roman"/>
          <w:sz w:val="32"/>
          <w:szCs w:val="32"/>
          <w:lang w:val="es-CL" w:eastAsia="en-US"/>
        </w:rPr>
        <w:t xml:space="preserve"> teniendo siempre a la vista los cambios sociales, culturales y tecnológicos, considerando en todo momento las necesidades de las personas que buscan una justicia más eficiente.</w:t>
      </w:r>
    </w:p>
    <w:p w:rsidR="006132CA" w:rsidRPr="00D64D74" w:rsidRDefault="006132CA" w:rsidP="006132CA">
      <w:pPr>
        <w:spacing w:line="360" w:lineRule="auto"/>
        <w:ind w:firstLine="708"/>
        <w:jc w:val="both"/>
        <w:rPr>
          <w:rFonts w:ascii="Verdana" w:eastAsia="Times New Roman" w:hAnsi="Verdana" w:cs="Times New Roman"/>
          <w:sz w:val="32"/>
          <w:szCs w:val="32"/>
          <w:lang w:val="es-CL" w:eastAsia="en-US"/>
        </w:rPr>
      </w:pPr>
    </w:p>
    <w:p w:rsidR="00B35E0E" w:rsidRPr="003F17BB" w:rsidRDefault="00B35E0E" w:rsidP="006132CA">
      <w:pPr>
        <w:pStyle w:val="Ttulo2"/>
        <w:spacing w:before="0" w:after="0" w:line="360" w:lineRule="auto"/>
      </w:pPr>
      <w:bookmarkStart w:id="28" w:name="_Toc65244184"/>
      <w:r w:rsidRPr="003F17BB">
        <w:t>Corporación Administrativa del Poder Judicial</w:t>
      </w:r>
      <w:bookmarkEnd w:id="28"/>
    </w:p>
    <w:p w:rsidR="00B35E0E" w:rsidRPr="003F17BB" w:rsidRDefault="00B35E0E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480483" w:rsidRPr="003F17BB" w:rsidRDefault="00F12D7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3F17BB">
        <w:rPr>
          <w:rFonts w:ascii="Verdana" w:hAnsi="Verdana"/>
          <w:sz w:val="32"/>
          <w:szCs w:val="32"/>
          <w:lang w:val="es-CL"/>
        </w:rPr>
        <w:t xml:space="preserve">La ejecución de </w:t>
      </w:r>
      <w:r w:rsidR="00D96730" w:rsidRPr="003F17BB">
        <w:rPr>
          <w:rFonts w:ascii="Verdana" w:hAnsi="Verdana"/>
          <w:sz w:val="32"/>
          <w:szCs w:val="32"/>
          <w:lang w:val="es-CL"/>
        </w:rPr>
        <w:t>numerosas iniciativas</w:t>
      </w:r>
      <w:r w:rsidRPr="003F17BB">
        <w:rPr>
          <w:rFonts w:ascii="Verdana" w:hAnsi="Verdana"/>
          <w:sz w:val="32"/>
          <w:szCs w:val="32"/>
          <w:lang w:val="es-CL"/>
        </w:rPr>
        <w:t xml:space="preserve"> que he tenido oportunidad de re</w:t>
      </w:r>
      <w:r w:rsidR="00480483" w:rsidRPr="003F17BB">
        <w:rPr>
          <w:rFonts w:ascii="Verdana" w:hAnsi="Verdana"/>
          <w:sz w:val="32"/>
          <w:szCs w:val="32"/>
          <w:lang w:val="es-CL"/>
        </w:rPr>
        <w:t>ferir a lo largo de esta cuenta no serían posibles de</w:t>
      </w:r>
      <w:r w:rsidRPr="003F17BB">
        <w:rPr>
          <w:rFonts w:ascii="Verdana" w:hAnsi="Verdana"/>
          <w:sz w:val="32"/>
          <w:szCs w:val="32"/>
          <w:lang w:val="es-CL"/>
        </w:rPr>
        <w:t xml:space="preserve"> realizar sin el apoyo técnico del órgano a cargo de la administración de los recursos humanos, financieros, tecnológicos y materiales de nuestra institución. La destacada labor de la </w:t>
      </w:r>
      <w:r w:rsidRPr="003F17BB">
        <w:rPr>
          <w:rFonts w:ascii="Verdana" w:hAnsi="Verdana"/>
          <w:b/>
          <w:sz w:val="32"/>
          <w:szCs w:val="32"/>
          <w:lang w:val="es-CL"/>
        </w:rPr>
        <w:t>Corporación Administrativa del Poder Judicial</w:t>
      </w:r>
      <w:r w:rsidR="00D96730" w:rsidRPr="003F17BB">
        <w:rPr>
          <w:rFonts w:ascii="Verdana" w:hAnsi="Verdana"/>
          <w:sz w:val="32"/>
          <w:szCs w:val="32"/>
          <w:lang w:val="es-CL"/>
        </w:rPr>
        <w:t xml:space="preserve"> no sólo ha contribuido</w:t>
      </w:r>
      <w:r w:rsidRPr="003F17BB">
        <w:rPr>
          <w:rFonts w:ascii="Verdana" w:hAnsi="Verdana"/>
          <w:sz w:val="32"/>
          <w:szCs w:val="32"/>
          <w:lang w:val="es-CL"/>
        </w:rPr>
        <w:t xml:space="preserve"> </w:t>
      </w:r>
      <w:r w:rsidR="00D96730" w:rsidRPr="003F17BB">
        <w:rPr>
          <w:rFonts w:ascii="Verdana" w:hAnsi="Verdana"/>
          <w:sz w:val="32"/>
          <w:szCs w:val="32"/>
          <w:lang w:val="es-CL"/>
        </w:rPr>
        <w:t xml:space="preserve">a </w:t>
      </w:r>
      <w:r w:rsidRPr="003F17BB">
        <w:rPr>
          <w:rFonts w:ascii="Verdana" w:hAnsi="Verdana"/>
          <w:sz w:val="32"/>
          <w:szCs w:val="32"/>
          <w:lang w:val="es-CL"/>
        </w:rPr>
        <w:t>asegurar la continuidad del servicio judicial</w:t>
      </w:r>
      <w:r w:rsidR="00480483" w:rsidRPr="003F17BB">
        <w:rPr>
          <w:rFonts w:ascii="Verdana" w:hAnsi="Verdana"/>
          <w:sz w:val="32"/>
          <w:szCs w:val="32"/>
          <w:lang w:val="es-CL"/>
        </w:rPr>
        <w:t xml:space="preserve">, sino también a mirar este complejo período como una oportunidad para </w:t>
      </w:r>
      <w:r w:rsidR="00D96730" w:rsidRPr="003F17BB">
        <w:rPr>
          <w:rFonts w:ascii="Verdana" w:hAnsi="Verdana"/>
          <w:sz w:val="32"/>
          <w:szCs w:val="32"/>
          <w:lang w:val="es-CL"/>
        </w:rPr>
        <w:t xml:space="preserve">proyectar </w:t>
      </w:r>
      <w:r w:rsidR="00A05305" w:rsidRPr="003F17BB">
        <w:rPr>
          <w:rFonts w:ascii="Verdana" w:hAnsi="Verdana"/>
          <w:sz w:val="32"/>
          <w:szCs w:val="32"/>
          <w:lang w:val="es-CL"/>
        </w:rPr>
        <w:t>mejores</w:t>
      </w:r>
      <w:r w:rsidR="00D96730" w:rsidRPr="003F17BB">
        <w:rPr>
          <w:rFonts w:ascii="Verdana" w:hAnsi="Verdana"/>
          <w:sz w:val="32"/>
          <w:szCs w:val="32"/>
          <w:lang w:val="es-CL"/>
        </w:rPr>
        <w:t xml:space="preserve"> estándares</w:t>
      </w:r>
      <w:r w:rsidR="00480483" w:rsidRPr="003F17BB">
        <w:rPr>
          <w:rFonts w:ascii="Verdana" w:hAnsi="Verdana"/>
          <w:sz w:val="32"/>
          <w:szCs w:val="32"/>
          <w:lang w:val="es-CL"/>
        </w:rPr>
        <w:t xml:space="preserve"> de eficiencia </w:t>
      </w:r>
      <w:r w:rsidR="00A05305" w:rsidRPr="003F17BB">
        <w:rPr>
          <w:rFonts w:ascii="Verdana" w:hAnsi="Verdana"/>
          <w:sz w:val="32"/>
          <w:szCs w:val="32"/>
          <w:lang w:val="es-CL"/>
        </w:rPr>
        <w:t>y accesibilidad</w:t>
      </w:r>
      <w:r w:rsidR="00480483" w:rsidRPr="003F17BB">
        <w:rPr>
          <w:rFonts w:ascii="Verdana" w:hAnsi="Verdana"/>
          <w:sz w:val="32"/>
          <w:szCs w:val="32"/>
          <w:lang w:val="es-CL"/>
        </w:rPr>
        <w:t xml:space="preserve">. </w:t>
      </w:r>
    </w:p>
    <w:p w:rsidR="00480483" w:rsidRPr="003F17BB" w:rsidRDefault="00480483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480483" w:rsidRPr="003F17BB" w:rsidRDefault="00480483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3F17BB">
        <w:rPr>
          <w:rFonts w:ascii="Verdana" w:hAnsi="Verdana"/>
          <w:sz w:val="32"/>
          <w:szCs w:val="32"/>
          <w:lang w:val="es-CL"/>
        </w:rPr>
        <w:t>L</w:t>
      </w:r>
      <w:r w:rsidR="005C21AE" w:rsidRPr="003F17BB">
        <w:rPr>
          <w:rFonts w:ascii="Verdana" w:hAnsi="Verdana"/>
          <w:sz w:val="32"/>
          <w:szCs w:val="32"/>
          <w:lang w:val="es-CL"/>
        </w:rPr>
        <w:t>a</w:t>
      </w:r>
      <w:r w:rsidRPr="003F17BB">
        <w:rPr>
          <w:rFonts w:ascii="Verdana" w:hAnsi="Verdana"/>
          <w:sz w:val="32"/>
          <w:szCs w:val="32"/>
          <w:lang w:val="es-CL"/>
        </w:rPr>
        <w:t xml:space="preserve"> </w:t>
      </w:r>
      <w:r w:rsidR="00A05305" w:rsidRPr="003F17BB">
        <w:rPr>
          <w:rFonts w:ascii="Verdana" w:hAnsi="Verdana"/>
          <w:sz w:val="32"/>
          <w:szCs w:val="32"/>
          <w:lang w:val="es-CL"/>
        </w:rPr>
        <w:t xml:space="preserve">adecuada </w:t>
      </w:r>
      <w:r w:rsidRPr="003F17BB">
        <w:rPr>
          <w:rFonts w:ascii="Verdana" w:hAnsi="Verdana"/>
          <w:sz w:val="32"/>
          <w:szCs w:val="32"/>
          <w:lang w:val="es-CL"/>
        </w:rPr>
        <w:t xml:space="preserve">gestión de dicha organización relativa al presupuesto, </w:t>
      </w:r>
      <w:r w:rsidR="00A05305" w:rsidRPr="003F17BB">
        <w:rPr>
          <w:rFonts w:ascii="Verdana" w:hAnsi="Verdana"/>
          <w:sz w:val="32"/>
          <w:szCs w:val="32"/>
          <w:lang w:val="es-CL"/>
        </w:rPr>
        <w:t xml:space="preserve">desarrollo institucional, planificación, </w:t>
      </w:r>
      <w:r w:rsidRPr="003F17BB">
        <w:rPr>
          <w:rFonts w:ascii="Verdana" w:hAnsi="Verdana"/>
          <w:sz w:val="32"/>
          <w:szCs w:val="32"/>
          <w:lang w:val="es-CL"/>
        </w:rPr>
        <w:t xml:space="preserve">recursos humanos, infraestructura, informática y contraloría interna, ha permitido cumplir esos propósitos. </w:t>
      </w:r>
    </w:p>
    <w:p w:rsidR="00480483" w:rsidRPr="003F17BB" w:rsidRDefault="00480483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</w:p>
    <w:p w:rsidR="00B35E0E" w:rsidRPr="003F17BB" w:rsidRDefault="00A05305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3F17BB">
        <w:rPr>
          <w:rFonts w:ascii="Verdana" w:hAnsi="Verdana"/>
          <w:sz w:val="32"/>
          <w:szCs w:val="32"/>
          <w:lang w:val="es-CL"/>
        </w:rPr>
        <w:t>L</w:t>
      </w:r>
      <w:r w:rsidR="00480483" w:rsidRPr="003F17BB">
        <w:rPr>
          <w:rFonts w:ascii="Verdana" w:hAnsi="Verdana"/>
          <w:sz w:val="32"/>
          <w:szCs w:val="32"/>
          <w:lang w:val="es-CL"/>
        </w:rPr>
        <w:t xml:space="preserve">a ejecución del </w:t>
      </w:r>
      <w:r w:rsidR="00B35E0E" w:rsidRPr="003F17BB">
        <w:rPr>
          <w:rFonts w:ascii="Verdana" w:hAnsi="Verdana"/>
          <w:sz w:val="32"/>
          <w:szCs w:val="32"/>
          <w:lang w:val="es-CL"/>
        </w:rPr>
        <w:t xml:space="preserve">presupuesto institucional del año </w:t>
      </w:r>
      <w:r w:rsidR="00480483" w:rsidRPr="003F17BB">
        <w:rPr>
          <w:rFonts w:ascii="Verdana" w:hAnsi="Verdana"/>
          <w:sz w:val="32"/>
          <w:szCs w:val="32"/>
          <w:lang w:val="es-CL"/>
        </w:rPr>
        <w:t>pasado al</w:t>
      </w:r>
      <w:r w:rsidRPr="003F17BB">
        <w:rPr>
          <w:rFonts w:ascii="Verdana" w:hAnsi="Verdana"/>
          <w:sz w:val="32"/>
          <w:szCs w:val="32"/>
          <w:lang w:val="es-CL"/>
        </w:rPr>
        <w:t>c</w:t>
      </w:r>
      <w:r w:rsidR="00480483" w:rsidRPr="003F17BB">
        <w:rPr>
          <w:rFonts w:ascii="Verdana" w:hAnsi="Verdana"/>
          <w:sz w:val="32"/>
          <w:szCs w:val="32"/>
          <w:lang w:val="es-CL"/>
        </w:rPr>
        <w:t>anzó</w:t>
      </w:r>
      <w:r w:rsidR="00B35E0E" w:rsidRPr="003F17BB">
        <w:rPr>
          <w:rFonts w:ascii="Verdana" w:hAnsi="Verdana"/>
          <w:sz w:val="32"/>
          <w:szCs w:val="32"/>
          <w:lang w:val="es-CL"/>
        </w:rPr>
        <w:t xml:space="preserve"> un 99,</w:t>
      </w:r>
      <w:r w:rsidR="00480483" w:rsidRPr="003F17BB">
        <w:rPr>
          <w:rFonts w:ascii="Verdana" w:hAnsi="Verdana"/>
          <w:sz w:val="32"/>
          <w:szCs w:val="32"/>
          <w:lang w:val="es-CL"/>
        </w:rPr>
        <w:t>8</w:t>
      </w:r>
      <w:r w:rsidRPr="003F17BB">
        <w:rPr>
          <w:rFonts w:ascii="Verdana" w:hAnsi="Verdana"/>
          <w:sz w:val="32"/>
          <w:szCs w:val="32"/>
          <w:lang w:val="es-CL"/>
        </w:rPr>
        <w:t>%</w:t>
      </w:r>
      <w:r w:rsidR="00B35E0E" w:rsidRPr="003F17BB">
        <w:rPr>
          <w:rFonts w:ascii="Verdana" w:hAnsi="Verdana"/>
          <w:sz w:val="32"/>
          <w:szCs w:val="32"/>
          <w:lang w:val="es-CL"/>
        </w:rPr>
        <w:t>.</w:t>
      </w:r>
    </w:p>
    <w:p w:rsidR="00480483" w:rsidRPr="003F17BB" w:rsidRDefault="00480483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B35E0E" w:rsidRPr="003F17BB" w:rsidRDefault="00B35E0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3F17BB">
        <w:rPr>
          <w:rFonts w:ascii="Verdana" w:hAnsi="Verdana"/>
          <w:sz w:val="32"/>
          <w:szCs w:val="32"/>
          <w:lang w:val="es-CL"/>
        </w:rPr>
        <w:t>En cuanto a la infraestructura</w:t>
      </w:r>
      <w:r w:rsidR="00A05305" w:rsidRPr="003F17BB">
        <w:rPr>
          <w:rFonts w:ascii="Verdana" w:hAnsi="Verdana"/>
          <w:sz w:val="32"/>
          <w:szCs w:val="32"/>
          <w:lang w:val="es-CL"/>
        </w:rPr>
        <w:t xml:space="preserve"> </w:t>
      </w:r>
      <w:r w:rsidR="00480483" w:rsidRPr="003F17BB">
        <w:rPr>
          <w:rFonts w:ascii="Verdana" w:hAnsi="Verdana"/>
          <w:sz w:val="32"/>
          <w:szCs w:val="32"/>
          <w:lang w:val="es-CL"/>
        </w:rPr>
        <w:t>se inauguró el Centro Judicial de Tomé</w:t>
      </w:r>
      <w:r w:rsidR="00A05305" w:rsidRPr="003F17BB">
        <w:rPr>
          <w:rFonts w:ascii="Verdana" w:hAnsi="Verdana"/>
          <w:sz w:val="32"/>
          <w:szCs w:val="32"/>
          <w:lang w:val="es-CL"/>
        </w:rPr>
        <w:t>, la Corte de Apelaciones de San Miguel</w:t>
      </w:r>
      <w:r w:rsidR="00480483" w:rsidRPr="003F17BB">
        <w:rPr>
          <w:rFonts w:ascii="Verdana" w:hAnsi="Verdana"/>
          <w:sz w:val="32"/>
          <w:szCs w:val="32"/>
          <w:lang w:val="es-CL"/>
        </w:rPr>
        <w:t xml:space="preserve"> y se dio inicio </w:t>
      </w:r>
      <w:r w:rsidR="00695198" w:rsidRPr="003F17BB">
        <w:rPr>
          <w:rFonts w:ascii="Verdana" w:hAnsi="Verdana"/>
          <w:sz w:val="32"/>
          <w:szCs w:val="32"/>
          <w:lang w:val="es-CL"/>
        </w:rPr>
        <w:t>a la construcción</w:t>
      </w:r>
      <w:r w:rsidR="00480483" w:rsidRPr="003F17BB">
        <w:rPr>
          <w:rFonts w:ascii="Verdana" w:hAnsi="Verdana"/>
          <w:sz w:val="32"/>
          <w:szCs w:val="32"/>
          <w:lang w:val="es-CL"/>
        </w:rPr>
        <w:t xml:space="preserve"> del e</w:t>
      </w:r>
      <w:r w:rsidRPr="003F17BB">
        <w:rPr>
          <w:rFonts w:ascii="Verdana" w:hAnsi="Verdana"/>
          <w:sz w:val="32"/>
          <w:szCs w:val="32"/>
          <w:lang w:val="es-CL"/>
        </w:rPr>
        <w:t xml:space="preserve">dificio </w:t>
      </w:r>
      <w:r w:rsidR="00480483" w:rsidRPr="003F17BB">
        <w:rPr>
          <w:rFonts w:ascii="Verdana" w:hAnsi="Verdana"/>
          <w:sz w:val="32"/>
          <w:szCs w:val="32"/>
          <w:lang w:val="es-CL"/>
        </w:rPr>
        <w:t>de la Academia Judicial y del J</w:t>
      </w:r>
      <w:r w:rsidRPr="003F17BB">
        <w:rPr>
          <w:rFonts w:ascii="Verdana" w:hAnsi="Verdana"/>
          <w:sz w:val="32"/>
          <w:szCs w:val="32"/>
          <w:lang w:val="es-CL"/>
        </w:rPr>
        <w:t>uzgado de Garantía y Tribunal Oral en lo Penal de Osorno.</w:t>
      </w:r>
    </w:p>
    <w:p w:rsidR="00480483" w:rsidRPr="003F17BB" w:rsidRDefault="00480483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5C21AE" w:rsidRDefault="005C21A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3F17BB">
        <w:rPr>
          <w:rFonts w:ascii="Verdana" w:hAnsi="Verdana"/>
          <w:sz w:val="32"/>
          <w:szCs w:val="32"/>
          <w:lang w:val="es-CL"/>
        </w:rPr>
        <w:t>También resulta destacable el lanzamiento del</w:t>
      </w:r>
      <w:r w:rsidR="00F12D7E" w:rsidRPr="003F17BB">
        <w:rPr>
          <w:rFonts w:ascii="Verdana" w:hAnsi="Verdana"/>
          <w:sz w:val="32"/>
          <w:szCs w:val="32"/>
          <w:lang w:val="es-CL"/>
        </w:rPr>
        <w:t xml:space="preserve"> portal de datos abierto denominado “Poder Judicial en Números”, plataforma moderna</w:t>
      </w:r>
      <w:r w:rsidR="00695198" w:rsidRPr="003F17BB">
        <w:rPr>
          <w:rFonts w:ascii="Verdana" w:hAnsi="Verdana"/>
          <w:sz w:val="32"/>
          <w:szCs w:val="32"/>
          <w:lang w:val="es-CL"/>
        </w:rPr>
        <w:t xml:space="preserve"> </w:t>
      </w:r>
      <w:r w:rsidR="00F12D7E" w:rsidRPr="003F17BB">
        <w:rPr>
          <w:rFonts w:ascii="Verdana" w:hAnsi="Verdana"/>
          <w:sz w:val="32"/>
          <w:szCs w:val="32"/>
          <w:lang w:val="es-CL"/>
        </w:rPr>
        <w:t xml:space="preserve">que contiene </w:t>
      </w:r>
      <w:r w:rsidR="00695198" w:rsidRPr="003F17BB">
        <w:rPr>
          <w:rFonts w:ascii="Verdana" w:hAnsi="Verdana"/>
          <w:sz w:val="32"/>
          <w:szCs w:val="32"/>
          <w:lang w:val="es-CL"/>
        </w:rPr>
        <w:t xml:space="preserve">información </w:t>
      </w:r>
      <w:r w:rsidR="0072643E" w:rsidRPr="003F17BB">
        <w:rPr>
          <w:rFonts w:ascii="Verdana" w:hAnsi="Verdana"/>
          <w:sz w:val="32"/>
          <w:szCs w:val="32"/>
          <w:lang w:val="es-CL"/>
        </w:rPr>
        <w:t xml:space="preserve">estadística </w:t>
      </w:r>
      <w:r w:rsidR="00695198" w:rsidRPr="003F17BB">
        <w:rPr>
          <w:rFonts w:ascii="Verdana" w:hAnsi="Verdana"/>
          <w:sz w:val="32"/>
          <w:szCs w:val="32"/>
          <w:lang w:val="es-CL"/>
        </w:rPr>
        <w:t xml:space="preserve">de tribunales </w:t>
      </w:r>
      <w:r w:rsidR="00F12D7E" w:rsidRPr="003F17BB">
        <w:rPr>
          <w:rFonts w:ascii="Verdana" w:hAnsi="Verdana"/>
          <w:sz w:val="32"/>
          <w:szCs w:val="32"/>
          <w:lang w:val="es-CL"/>
        </w:rPr>
        <w:t xml:space="preserve">y </w:t>
      </w:r>
      <w:r w:rsidR="00695198" w:rsidRPr="003F17BB">
        <w:rPr>
          <w:rFonts w:ascii="Verdana" w:hAnsi="Verdana"/>
          <w:sz w:val="32"/>
          <w:szCs w:val="32"/>
          <w:lang w:val="es-CL"/>
        </w:rPr>
        <w:t xml:space="preserve">de </w:t>
      </w:r>
      <w:r w:rsidR="00F12D7E" w:rsidRPr="003F17BB">
        <w:rPr>
          <w:rFonts w:ascii="Verdana" w:hAnsi="Verdana"/>
          <w:sz w:val="32"/>
          <w:szCs w:val="32"/>
          <w:lang w:val="es-CL"/>
        </w:rPr>
        <w:t>la Corporación Administrativa del Poder Judicial</w:t>
      </w:r>
      <w:r w:rsidRPr="003F17BB">
        <w:rPr>
          <w:rFonts w:ascii="Verdana" w:hAnsi="Verdana"/>
          <w:sz w:val="32"/>
          <w:szCs w:val="32"/>
          <w:lang w:val="es-CL"/>
        </w:rPr>
        <w:t>, lo que evidencia un paso indudable para la transparencia y rendición de cuenta institucional</w:t>
      </w:r>
      <w:r w:rsidR="00F12D7E" w:rsidRPr="003F17BB">
        <w:rPr>
          <w:rFonts w:ascii="Verdana" w:hAnsi="Verdana"/>
          <w:sz w:val="32"/>
          <w:szCs w:val="32"/>
          <w:lang w:val="es-CL"/>
        </w:rPr>
        <w:t>.</w:t>
      </w:r>
    </w:p>
    <w:p w:rsidR="006132CA" w:rsidRDefault="006132CA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</w:p>
    <w:p w:rsidR="00D81167" w:rsidRPr="00D64D74" w:rsidRDefault="00D81167" w:rsidP="006132CA">
      <w:pPr>
        <w:pStyle w:val="Ttulo1"/>
        <w:spacing w:before="0" w:after="0" w:line="360" w:lineRule="auto"/>
        <w:jc w:val="both"/>
      </w:pPr>
      <w:bookmarkStart w:id="29" w:name="_Toc65244185"/>
      <w:r w:rsidRPr="00D64D74">
        <w:t>CAMBIOS EN LA CONFORMACIÓN DE LA CORTE SUPREMA Y MENCIÓN HONROSA AL MINISTRO ARÁNGUIZ</w:t>
      </w:r>
      <w:bookmarkEnd w:id="29"/>
    </w:p>
    <w:p w:rsidR="00D81167" w:rsidRPr="00D64D74" w:rsidRDefault="00D81167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El año pasado y el inicio del presente ha estado marcado también por cambios en la </w:t>
      </w:r>
      <w:r w:rsidRPr="00D81167">
        <w:rPr>
          <w:rFonts w:ascii="Verdana" w:eastAsia="Verdana" w:hAnsi="Verdana" w:cs="Verdana"/>
          <w:b/>
          <w:sz w:val="32"/>
          <w:szCs w:val="32"/>
          <w:lang w:val="es-CL"/>
        </w:rPr>
        <w:t>conformación de los integrantes de la Corte Suprema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, por aplicación de la norma constitucional de salida en algunos casos y por la partida lamentable, en otro. </w:t>
      </w:r>
    </w:p>
    <w:p w:rsidR="00D81167" w:rsidRPr="00D64D74" w:rsidRDefault="00D81167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Brindo nuestro agradecimiento al señor Lamberto Cisternas, quie</w:t>
      </w:r>
      <w:r>
        <w:rPr>
          <w:rFonts w:ascii="Verdana" w:eastAsia="Verdana" w:hAnsi="Verdana" w:cs="Verdana"/>
          <w:sz w:val="32"/>
          <w:szCs w:val="32"/>
          <w:lang w:val="es-CL"/>
        </w:rPr>
        <w:t>n a principios de abril de 2020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dejó de ser miembro de este tribunal. Situación que también se produjo recientemente con la señora María Eugenia Sandoval y el señor Carlos Künsemüller. Todos ellos, con su enorme conocimiento, experiencia y dedicación, contribuyeron significativamente en el trabajo de </w:t>
      </w:r>
      <w:r>
        <w:rPr>
          <w:rFonts w:ascii="Verdana" w:eastAsia="Verdana" w:hAnsi="Verdana" w:cs="Verdana"/>
          <w:sz w:val="32"/>
          <w:szCs w:val="32"/>
          <w:lang w:val="es-CL"/>
        </w:rPr>
        <w:t>esta Corte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. </w:t>
      </w: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D81167" w:rsidRPr="00D64D74" w:rsidRDefault="00D81167" w:rsidP="006132CA">
      <w:pPr>
        <w:tabs>
          <w:tab w:val="left" w:pos="6509"/>
        </w:tabs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MX"/>
        </w:rPr>
      </w:pPr>
      <w:r>
        <w:rPr>
          <w:rFonts w:ascii="Verdana" w:eastAsia="Verdana" w:hAnsi="Verdana" w:cs="Verdana"/>
          <w:sz w:val="32"/>
          <w:szCs w:val="32"/>
          <w:lang w:val="es-CL"/>
        </w:rPr>
        <w:t>También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hemos tenido el gusto de recibir </w:t>
      </w:r>
      <w:r>
        <w:rPr>
          <w:rFonts w:ascii="Verdana" w:eastAsia="Verdana" w:hAnsi="Verdana" w:cs="Verdana"/>
          <w:sz w:val="32"/>
          <w:szCs w:val="32"/>
          <w:lang w:val="es-CL"/>
        </w:rPr>
        <w:t>a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dos nuevos ministros: la señora Adelita Ravanales y el señor Mario Carroza, quienes ya están, desde un inicio, siendo un gran aporte en este tribunal. </w:t>
      </w: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Quiero dedicar un espacio para recordar  y homenajear a quien casi por seis años fuera nuestro amigo y compañero en la Corte Suprema: don Carlos Aránguiz Zúñiga, </w:t>
      </w:r>
      <w:r>
        <w:rPr>
          <w:rFonts w:ascii="Verdana" w:eastAsia="Verdana" w:hAnsi="Verdana" w:cs="Verdana"/>
          <w:sz w:val="32"/>
          <w:szCs w:val="32"/>
          <w:lang w:val="es-CL"/>
        </w:rPr>
        <w:t>quien</w:t>
      </w:r>
      <w:r w:rsidRPr="00D64D74">
        <w:rPr>
          <w:rFonts w:ascii="Verdana" w:eastAsia="Verdana" w:hAnsi="Verdana" w:cs="Verdana"/>
          <w:sz w:val="32"/>
          <w:szCs w:val="32"/>
          <w:lang w:val="es-CL"/>
        </w:rPr>
        <w:t xml:space="preserve"> entregó su vida tanto a la judicatura como a las letras, representando una versión de la justicia y del servicio público que no podemos olvidar. </w:t>
      </w: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</w:p>
    <w:p w:rsidR="00D81167" w:rsidRPr="00D64D74" w:rsidRDefault="00D81167" w:rsidP="006132CA">
      <w:pPr>
        <w:spacing w:line="360" w:lineRule="auto"/>
        <w:ind w:firstLine="720"/>
        <w:jc w:val="both"/>
        <w:rPr>
          <w:rFonts w:ascii="Verdana" w:eastAsia="Verdana" w:hAnsi="Verdana" w:cs="Verdana"/>
          <w:sz w:val="32"/>
          <w:szCs w:val="32"/>
          <w:lang w:val="es-CL"/>
        </w:rPr>
      </w:pPr>
      <w:r w:rsidRPr="00D64D74">
        <w:rPr>
          <w:rFonts w:ascii="Verdana" w:eastAsia="Verdana" w:hAnsi="Verdana" w:cs="Verdana"/>
          <w:sz w:val="32"/>
          <w:szCs w:val="32"/>
          <w:lang w:val="es-CL"/>
        </w:rPr>
        <w:t>Recordamos con el mayor afecto el ex ministro Aránguiz y saludamos con cariño a su familia.</w:t>
      </w:r>
    </w:p>
    <w:p w:rsidR="00D81167" w:rsidRDefault="00D81167" w:rsidP="006132CA">
      <w:pPr>
        <w:pStyle w:val="Ttulo1"/>
        <w:numPr>
          <w:ilvl w:val="0"/>
          <w:numId w:val="0"/>
        </w:numPr>
        <w:spacing w:before="0" w:after="0" w:line="360" w:lineRule="auto"/>
        <w:ind w:left="1440" w:hanging="1080"/>
        <w:jc w:val="both"/>
      </w:pPr>
    </w:p>
    <w:p w:rsidR="00256466" w:rsidRPr="00D64D74" w:rsidRDefault="00256466" w:rsidP="006132CA">
      <w:pPr>
        <w:pStyle w:val="Ttulo1"/>
        <w:spacing w:before="0" w:after="0" w:line="360" w:lineRule="auto"/>
        <w:jc w:val="both"/>
      </w:pPr>
      <w:bookmarkStart w:id="30" w:name="_Toc65244186"/>
      <w:r w:rsidRPr="00D64D74">
        <w:t>COMPROMISO DEMOCRÁTICO: PROCESO CONSTITUYENTE</w:t>
      </w:r>
      <w:bookmarkEnd w:id="30"/>
    </w:p>
    <w:p w:rsidR="001A3D80" w:rsidRPr="00D64D74" w:rsidRDefault="001A3D80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1A3D80" w:rsidRPr="00D64D74" w:rsidRDefault="001A3D80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D81167">
        <w:rPr>
          <w:rFonts w:ascii="Verdana" w:hAnsi="Verdana"/>
          <w:sz w:val="32"/>
          <w:szCs w:val="32"/>
          <w:lang w:val="es-CL"/>
        </w:rPr>
        <w:t xml:space="preserve">La Corte Suprema </w:t>
      </w:r>
      <w:r w:rsidR="00F146DA" w:rsidRPr="00D81167">
        <w:rPr>
          <w:rFonts w:ascii="Verdana" w:hAnsi="Verdana"/>
          <w:sz w:val="32"/>
          <w:szCs w:val="32"/>
          <w:lang w:val="es-CL"/>
        </w:rPr>
        <w:t>no puede ser</w:t>
      </w:r>
      <w:r w:rsidRPr="00D81167">
        <w:rPr>
          <w:rFonts w:ascii="Verdana" w:hAnsi="Verdana"/>
          <w:sz w:val="32"/>
          <w:szCs w:val="32"/>
          <w:lang w:val="es-CL"/>
        </w:rPr>
        <w:t xml:space="preserve"> indiferente a los procesos de cambio trascenden</w:t>
      </w:r>
      <w:r w:rsidR="00F146DA" w:rsidRPr="00D81167">
        <w:rPr>
          <w:rFonts w:ascii="Verdana" w:hAnsi="Verdana"/>
          <w:sz w:val="32"/>
          <w:szCs w:val="32"/>
          <w:lang w:val="es-CL"/>
        </w:rPr>
        <w:t>tales</w:t>
      </w:r>
      <w:r w:rsidRPr="00D81167">
        <w:rPr>
          <w:rFonts w:ascii="Verdana" w:hAnsi="Verdana"/>
          <w:sz w:val="32"/>
          <w:szCs w:val="32"/>
          <w:lang w:val="es-CL"/>
        </w:rPr>
        <w:t xml:space="preserve">. </w:t>
      </w:r>
      <w:r w:rsidRPr="00D64D74">
        <w:rPr>
          <w:rFonts w:ascii="Verdana" w:hAnsi="Verdana"/>
          <w:sz w:val="32"/>
          <w:szCs w:val="32"/>
          <w:lang w:val="es-CL"/>
        </w:rPr>
        <w:t xml:space="preserve">En </w:t>
      </w:r>
      <w:r w:rsidR="00F146DA" w:rsidRPr="00D64D74">
        <w:rPr>
          <w:rFonts w:ascii="Verdana" w:hAnsi="Verdana"/>
          <w:sz w:val="32"/>
          <w:szCs w:val="32"/>
          <w:lang w:val="es-CL"/>
        </w:rPr>
        <w:t xml:space="preserve">diversas </w:t>
      </w:r>
      <w:r w:rsidR="00C5080E" w:rsidRPr="00D64D74">
        <w:rPr>
          <w:rFonts w:ascii="Verdana" w:hAnsi="Verdana"/>
          <w:sz w:val="32"/>
          <w:szCs w:val="32"/>
          <w:lang w:val="es-CL"/>
        </w:rPr>
        <w:t>ocasiones</w:t>
      </w:r>
      <w:r w:rsidRPr="00D64D74">
        <w:rPr>
          <w:rFonts w:ascii="Verdana" w:hAnsi="Verdana"/>
          <w:sz w:val="32"/>
          <w:szCs w:val="32"/>
          <w:lang w:val="es-CL"/>
        </w:rPr>
        <w:t xml:space="preserve"> nos habíamos abocado</w:t>
      </w:r>
      <w:r w:rsidR="002B3ABE">
        <w:rPr>
          <w:rFonts w:ascii="Verdana" w:hAnsi="Verdana"/>
          <w:sz w:val="32"/>
          <w:szCs w:val="32"/>
          <w:lang w:val="es-CL"/>
        </w:rPr>
        <w:t xml:space="preserve"> al análisis y al debate sobre gobierno j</w:t>
      </w:r>
      <w:r w:rsidRPr="00D64D74">
        <w:rPr>
          <w:rFonts w:ascii="Verdana" w:hAnsi="Verdana"/>
          <w:sz w:val="32"/>
          <w:szCs w:val="32"/>
          <w:lang w:val="es-CL"/>
        </w:rPr>
        <w:t>udicial, el</w:t>
      </w:r>
      <w:r w:rsidR="008827A9" w:rsidRPr="00D64D74">
        <w:rPr>
          <w:rFonts w:ascii="Verdana" w:hAnsi="Verdana"/>
          <w:sz w:val="32"/>
          <w:szCs w:val="32"/>
          <w:lang w:val="es-CL"/>
        </w:rPr>
        <w:t xml:space="preserve"> sistema de nombramientos </w:t>
      </w:r>
      <w:r w:rsidR="00C5080E" w:rsidRPr="00D64D74">
        <w:rPr>
          <w:rFonts w:ascii="Verdana" w:hAnsi="Verdana"/>
          <w:sz w:val="32"/>
          <w:szCs w:val="32"/>
          <w:lang w:val="es-CL"/>
        </w:rPr>
        <w:t xml:space="preserve">y la </w:t>
      </w:r>
      <w:r w:rsidRPr="00D64D74">
        <w:rPr>
          <w:rFonts w:ascii="Verdana" w:hAnsi="Verdana"/>
          <w:sz w:val="32"/>
          <w:szCs w:val="32"/>
          <w:lang w:val="es-CL"/>
        </w:rPr>
        <w:t>reforma constitucional an</w:t>
      </w:r>
      <w:r w:rsidR="008827A9" w:rsidRPr="00D64D74">
        <w:rPr>
          <w:rFonts w:ascii="Verdana" w:hAnsi="Verdana"/>
          <w:sz w:val="32"/>
          <w:szCs w:val="32"/>
          <w:lang w:val="es-CL"/>
        </w:rPr>
        <w:t>unciada en gobiernos anteriores</w:t>
      </w:r>
      <w:r w:rsidRPr="00D64D74">
        <w:rPr>
          <w:rFonts w:ascii="Verdana" w:hAnsi="Verdana"/>
          <w:sz w:val="32"/>
          <w:szCs w:val="32"/>
          <w:lang w:val="es-CL"/>
        </w:rPr>
        <w:t>.</w:t>
      </w:r>
    </w:p>
    <w:p w:rsidR="008827A9" w:rsidRPr="00D64D74" w:rsidRDefault="008827A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1A3D80" w:rsidRPr="00D64D74" w:rsidRDefault="008827A9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 xml:space="preserve">Pero ya formalizado el acuerdo político para una nueva Carta Fundamental, con una decisión plebiscitaria que así lo refrenda, se hizo evidente la necesidad </w:t>
      </w:r>
      <w:r w:rsidR="00C5080E" w:rsidRPr="00D64D74">
        <w:rPr>
          <w:rFonts w:ascii="Verdana" w:hAnsi="Verdana"/>
          <w:sz w:val="32"/>
          <w:szCs w:val="32"/>
          <w:lang w:val="es-CL"/>
        </w:rPr>
        <w:t>de</w:t>
      </w:r>
      <w:r w:rsidRPr="00D64D74">
        <w:rPr>
          <w:rFonts w:ascii="Verdana" w:hAnsi="Verdana"/>
          <w:sz w:val="32"/>
          <w:szCs w:val="32"/>
          <w:lang w:val="es-CL"/>
        </w:rPr>
        <w:t xml:space="preserve"> reflexionar sobre </w:t>
      </w:r>
      <w:r w:rsidR="00C5080E" w:rsidRPr="00D64D74">
        <w:rPr>
          <w:rFonts w:ascii="Verdana" w:hAnsi="Verdana"/>
          <w:sz w:val="32"/>
          <w:szCs w:val="32"/>
          <w:lang w:val="es-CL"/>
        </w:rPr>
        <w:t>los diferentes ámbitos</w:t>
      </w:r>
      <w:r w:rsidR="001A3D80" w:rsidRPr="00D64D74">
        <w:rPr>
          <w:rFonts w:ascii="Verdana" w:hAnsi="Verdana"/>
          <w:sz w:val="32"/>
          <w:szCs w:val="32"/>
          <w:lang w:val="es-CL"/>
        </w:rPr>
        <w:t xml:space="preserve"> </w:t>
      </w:r>
      <w:r w:rsidRPr="00D64D74">
        <w:rPr>
          <w:rFonts w:ascii="Verdana" w:hAnsi="Verdana"/>
          <w:sz w:val="32"/>
          <w:szCs w:val="32"/>
          <w:lang w:val="es-CL"/>
        </w:rPr>
        <w:t>vinculad</w:t>
      </w:r>
      <w:r w:rsidR="00C5080E" w:rsidRPr="00D64D74">
        <w:rPr>
          <w:rFonts w:ascii="Verdana" w:hAnsi="Verdana"/>
          <w:sz w:val="32"/>
          <w:szCs w:val="32"/>
          <w:lang w:val="es-CL"/>
        </w:rPr>
        <w:t>o</w:t>
      </w:r>
      <w:r w:rsidRPr="00D64D74">
        <w:rPr>
          <w:rFonts w:ascii="Verdana" w:hAnsi="Verdana"/>
          <w:sz w:val="32"/>
          <w:szCs w:val="32"/>
          <w:lang w:val="es-CL"/>
        </w:rPr>
        <w:t>s</w:t>
      </w:r>
      <w:r w:rsidR="001A3D80" w:rsidRPr="00D64D74">
        <w:rPr>
          <w:rFonts w:ascii="Verdana" w:hAnsi="Verdana"/>
          <w:sz w:val="32"/>
          <w:szCs w:val="32"/>
          <w:lang w:val="es-CL"/>
        </w:rPr>
        <w:t xml:space="preserve"> a la jurisdicción y al Poder Judicial que probablemente serán objeto de discusión </w:t>
      </w:r>
      <w:r w:rsidRPr="00D64D74">
        <w:rPr>
          <w:rFonts w:ascii="Verdana" w:hAnsi="Verdana"/>
          <w:sz w:val="32"/>
          <w:szCs w:val="32"/>
          <w:lang w:val="es-CL"/>
        </w:rPr>
        <w:t>por la Convención</w:t>
      </w:r>
      <w:r w:rsidR="001A3D80" w:rsidRPr="00D64D74">
        <w:rPr>
          <w:rFonts w:ascii="Verdana" w:hAnsi="Verdana"/>
          <w:sz w:val="32"/>
          <w:szCs w:val="32"/>
          <w:lang w:val="es-CL"/>
        </w:rPr>
        <w:t>.</w:t>
      </w:r>
    </w:p>
    <w:p w:rsidR="00F27B5F" w:rsidRPr="00D64D74" w:rsidRDefault="00F27B5F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20761E" w:rsidRDefault="008827A9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>Así fue que en diciembre nos volcamos al estudio de estas materias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, que nos permitió adoptar acuerdos referentes a los principios de la jurisdicción, del que la independencia judicial siempre se encuentra como piedra angular; la concepción del </w:t>
      </w:r>
      <w:r w:rsidR="00C5080E" w:rsidRPr="00D64D74">
        <w:rPr>
          <w:rFonts w:ascii="Verdana" w:hAnsi="Verdana"/>
          <w:sz w:val="32"/>
          <w:szCs w:val="32"/>
          <w:lang w:val="es-CL"/>
        </w:rPr>
        <w:t>“j</w:t>
      </w:r>
      <w:r w:rsidR="00AC20C9" w:rsidRPr="00D64D74">
        <w:rPr>
          <w:rFonts w:ascii="Verdana" w:hAnsi="Verdana"/>
          <w:sz w:val="32"/>
          <w:szCs w:val="32"/>
          <w:lang w:val="es-CL"/>
        </w:rPr>
        <w:t>udicial</w:t>
      </w:r>
      <w:r w:rsidR="00C5080E" w:rsidRPr="00D64D74">
        <w:rPr>
          <w:rFonts w:ascii="Verdana" w:hAnsi="Verdana"/>
          <w:sz w:val="32"/>
          <w:szCs w:val="32"/>
          <w:lang w:val="es-CL"/>
        </w:rPr>
        <w:t>”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como un “poder” del estado; la unidad de jurisdicción y</w:t>
      </w:r>
      <w:r w:rsidR="0020761E">
        <w:rPr>
          <w:rFonts w:ascii="Verdana" w:hAnsi="Verdana"/>
          <w:sz w:val="32"/>
          <w:szCs w:val="32"/>
          <w:lang w:val="es-CL"/>
        </w:rPr>
        <w:t xml:space="preserve"> su relevancia para la justicia y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el sistema d</w:t>
      </w:r>
      <w:r w:rsidR="0020761E">
        <w:rPr>
          <w:rFonts w:ascii="Verdana" w:hAnsi="Verdana"/>
          <w:sz w:val="32"/>
          <w:szCs w:val="32"/>
          <w:lang w:val="es-CL"/>
        </w:rPr>
        <w:t>e responsabilidad de los jueces.</w:t>
      </w:r>
    </w:p>
    <w:p w:rsidR="0020761E" w:rsidRDefault="0020761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</w:p>
    <w:p w:rsidR="00AC20C9" w:rsidRPr="00D64D74" w:rsidRDefault="0020761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>
        <w:rPr>
          <w:rFonts w:ascii="Verdana" w:hAnsi="Verdana"/>
          <w:sz w:val="32"/>
          <w:szCs w:val="32"/>
          <w:lang w:val="es-CL"/>
        </w:rPr>
        <w:t>También se acordó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la necesidad de separar la función jurisdiccional de las que no lo son, </w:t>
      </w:r>
      <w:r w:rsidR="002B3ABE">
        <w:rPr>
          <w:rFonts w:ascii="Verdana" w:hAnsi="Verdana"/>
          <w:sz w:val="32"/>
          <w:szCs w:val="32"/>
          <w:lang w:val="es-CL"/>
        </w:rPr>
        <w:t>concentrando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los temas asociados a formación y capacitación, nombramientos y carrera funcionaria, la responsabilidad disciplinaria y la administración y gestión de recursos, </w:t>
      </w:r>
      <w:r w:rsidR="002B3ABE">
        <w:rPr>
          <w:rFonts w:ascii="Verdana" w:hAnsi="Verdana"/>
          <w:sz w:val="32"/>
          <w:szCs w:val="32"/>
          <w:lang w:val="es-CL"/>
        </w:rPr>
        <w:t>en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un órgano cuya composición puede ser interna, externa o mixta, pero en cualquier caso aseguradora de la independencia judicial.</w:t>
      </w:r>
    </w:p>
    <w:p w:rsidR="00AC20C9" w:rsidRPr="00D64D74" w:rsidRDefault="00AC20C9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2B4257" w:rsidRPr="00D64D74" w:rsidRDefault="0020761E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>
        <w:rPr>
          <w:rFonts w:ascii="Verdana" w:hAnsi="Verdana"/>
          <w:sz w:val="32"/>
          <w:szCs w:val="32"/>
          <w:lang w:val="es-CL"/>
        </w:rPr>
        <w:t>Además,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</w:t>
      </w:r>
      <w:r>
        <w:rPr>
          <w:rFonts w:ascii="Verdana" w:hAnsi="Verdana"/>
          <w:sz w:val="32"/>
          <w:szCs w:val="32"/>
          <w:lang w:val="es-CL"/>
        </w:rPr>
        <w:t xml:space="preserve">abordamos </w:t>
      </w:r>
      <w:r w:rsidR="00AC20C9" w:rsidRPr="00D64D74">
        <w:rPr>
          <w:rFonts w:ascii="Verdana" w:hAnsi="Verdana"/>
          <w:sz w:val="32"/>
          <w:szCs w:val="32"/>
          <w:lang w:val="es-CL"/>
        </w:rPr>
        <w:t>la autonomí</w:t>
      </w:r>
      <w:r w:rsidR="00A2052C" w:rsidRPr="00D64D74">
        <w:rPr>
          <w:rFonts w:ascii="Verdana" w:hAnsi="Verdana"/>
          <w:sz w:val="32"/>
          <w:szCs w:val="32"/>
          <w:lang w:val="es-CL"/>
        </w:rPr>
        <w:t>a financiera del Poder Judicial;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el rol de la superintendencia directiva</w:t>
      </w:r>
      <w:r w:rsidR="003312E7">
        <w:rPr>
          <w:rFonts w:ascii="Verdana" w:hAnsi="Verdana"/>
          <w:sz w:val="32"/>
          <w:szCs w:val="32"/>
          <w:lang w:val="es-CL"/>
        </w:rPr>
        <w:t>, correccional y económica</w:t>
      </w:r>
      <w:r w:rsidR="00C5080E" w:rsidRPr="00D64D74">
        <w:rPr>
          <w:rFonts w:ascii="Verdana" w:hAnsi="Verdana"/>
          <w:sz w:val="32"/>
          <w:szCs w:val="32"/>
          <w:lang w:val="es-CL"/>
        </w:rPr>
        <w:t xml:space="preserve"> </w:t>
      </w:r>
      <w:r w:rsidR="00A2052C" w:rsidRPr="00D64D74">
        <w:rPr>
          <w:rFonts w:ascii="Verdana" w:hAnsi="Verdana"/>
          <w:sz w:val="32"/>
          <w:szCs w:val="32"/>
          <w:lang w:val="es-CL"/>
        </w:rPr>
        <w:t xml:space="preserve">y </w:t>
      </w:r>
      <w:r w:rsidR="00C5080E" w:rsidRPr="00D64D74">
        <w:rPr>
          <w:rFonts w:ascii="Verdana" w:hAnsi="Verdana"/>
          <w:sz w:val="32"/>
          <w:szCs w:val="32"/>
          <w:lang w:val="es-CL"/>
        </w:rPr>
        <w:t>el papel</w:t>
      </w:r>
      <w:r w:rsidR="00AC20C9" w:rsidRPr="00D64D74">
        <w:rPr>
          <w:rFonts w:ascii="Verdana" w:hAnsi="Verdana"/>
          <w:sz w:val="32"/>
          <w:szCs w:val="32"/>
          <w:lang w:val="es-CL"/>
        </w:rPr>
        <w:t xml:space="preserve"> jur</w:t>
      </w:r>
      <w:r w:rsidR="00BF31F5" w:rsidRPr="00D64D74">
        <w:rPr>
          <w:rFonts w:ascii="Verdana" w:hAnsi="Verdana"/>
          <w:sz w:val="32"/>
          <w:szCs w:val="32"/>
          <w:lang w:val="es-CL"/>
        </w:rPr>
        <w:t>isdiccional de la Corte Suprema, relevando la importancia de la función de tutela de garantías constitucionales que hoy desempeña, dada su oportunidad y eficacia en el resguardo de los derechos fundamentales de las personas.</w:t>
      </w:r>
      <w:r w:rsidR="00E47525" w:rsidRPr="00D64D74">
        <w:rPr>
          <w:rFonts w:ascii="Verdana" w:hAnsi="Verdana"/>
          <w:sz w:val="32"/>
          <w:szCs w:val="32"/>
          <w:lang w:val="es-CL"/>
        </w:rPr>
        <w:t xml:space="preserve"> </w:t>
      </w:r>
    </w:p>
    <w:p w:rsidR="002C6945" w:rsidRPr="00D64D74" w:rsidRDefault="002C6945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</w:p>
    <w:p w:rsidR="00A2052C" w:rsidRDefault="00E47525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ab/>
      </w:r>
      <w:r w:rsidR="003312E7">
        <w:rPr>
          <w:rFonts w:ascii="Verdana" w:hAnsi="Verdana"/>
          <w:sz w:val="32"/>
          <w:szCs w:val="32"/>
          <w:lang w:val="es-CL"/>
        </w:rPr>
        <w:t>Este trabajo lo</w:t>
      </w:r>
      <w:r w:rsidRPr="00FE56EB">
        <w:rPr>
          <w:rFonts w:ascii="Verdana" w:hAnsi="Verdana"/>
          <w:sz w:val="32"/>
          <w:szCs w:val="32"/>
          <w:lang w:val="es-CL"/>
        </w:rPr>
        <w:t xml:space="preserve"> hemos puesto a disposición</w:t>
      </w:r>
      <w:r w:rsidR="003E1CD3" w:rsidRPr="00FE56EB">
        <w:rPr>
          <w:rFonts w:ascii="Verdana" w:hAnsi="Verdana"/>
          <w:sz w:val="32"/>
          <w:szCs w:val="32"/>
          <w:lang w:val="es-CL"/>
        </w:rPr>
        <w:t xml:space="preserve"> de la</w:t>
      </w:r>
      <w:r w:rsidR="003312E7">
        <w:rPr>
          <w:rFonts w:ascii="Verdana" w:hAnsi="Verdana"/>
          <w:sz w:val="32"/>
          <w:szCs w:val="32"/>
          <w:lang w:val="es-CL"/>
        </w:rPr>
        <w:t xml:space="preserve"> comunidad</w:t>
      </w:r>
      <w:r w:rsidRPr="00FE56EB">
        <w:rPr>
          <w:rFonts w:ascii="Verdana" w:hAnsi="Verdana"/>
          <w:sz w:val="32"/>
          <w:szCs w:val="32"/>
          <w:lang w:val="es-CL"/>
        </w:rPr>
        <w:t xml:space="preserve"> con el propósito de ser un aporte para el debate, con pleno respeto al espacio de deliberación que tendrán los convencionales.</w:t>
      </w:r>
      <w:r w:rsidR="006F5F8A" w:rsidRPr="00D64D74">
        <w:rPr>
          <w:rFonts w:ascii="Verdana" w:hAnsi="Verdana"/>
          <w:sz w:val="32"/>
          <w:szCs w:val="32"/>
          <w:lang w:val="es-CL"/>
        </w:rPr>
        <w:t xml:space="preserve"> </w:t>
      </w:r>
    </w:p>
    <w:p w:rsidR="00FC1492" w:rsidRPr="00D64D74" w:rsidRDefault="00FC1492" w:rsidP="006132CA">
      <w:pPr>
        <w:spacing w:line="360" w:lineRule="auto"/>
        <w:jc w:val="both"/>
        <w:rPr>
          <w:rFonts w:ascii="Verdana" w:hAnsi="Verdana"/>
          <w:sz w:val="32"/>
          <w:szCs w:val="32"/>
          <w:lang w:val="es-CL"/>
        </w:rPr>
      </w:pPr>
    </w:p>
    <w:p w:rsidR="00E47525" w:rsidRPr="00D64D74" w:rsidRDefault="00A2052C" w:rsidP="006132CA">
      <w:pPr>
        <w:spacing w:line="360" w:lineRule="auto"/>
        <w:ind w:firstLine="720"/>
        <w:jc w:val="both"/>
        <w:rPr>
          <w:rFonts w:ascii="Verdana" w:hAnsi="Verdana"/>
          <w:sz w:val="32"/>
          <w:szCs w:val="32"/>
          <w:lang w:val="es-CL"/>
        </w:rPr>
      </w:pPr>
      <w:r w:rsidRPr="00D64D74">
        <w:rPr>
          <w:rFonts w:ascii="Verdana" w:hAnsi="Verdana"/>
          <w:sz w:val="32"/>
          <w:szCs w:val="32"/>
          <w:lang w:val="es-CL"/>
        </w:rPr>
        <w:t>D</w:t>
      </w:r>
      <w:r w:rsidR="005A488D" w:rsidRPr="00D64D74">
        <w:rPr>
          <w:rFonts w:ascii="Verdana" w:hAnsi="Verdana"/>
          <w:sz w:val="32"/>
          <w:szCs w:val="32"/>
          <w:lang w:val="es-CL"/>
        </w:rPr>
        <w:t>el mismo modo, nos estamos preparando para ejercer el rol que la reforma constitucional de 2019 asignó a la Corte Suprema para resolver las con</w:t>
      </w:r>
      <w:r w:rsidRPr="00D64D74">
        <w:rPr>
          <w:rFonts w:ascii="Verdana" w:hAnsi="Verdana"/>
          <w:sz w:val="32"/>
          <w:szCs w:val="32"/>
          <w:lang w:val="es-CL"/>
        </w:rPr>
        <w:t>troversias de carácter procedim</w:t>
      </w:r>
      <w:r w:rsidR="005A488D" w:rsidRPr="00D64D74">
        <w:rPr>
          <w:rFonts w:ascii="Verdana" w:hAnsi="Verdana"/>
          <w:sz w:val="32"/>
          <w:szCs w:val="32"/>
          <w:lang w:val="es-CL"/>
        </w:rPr>
        <w:t>ental que se produzcan en el seno del funcionamiento de la Convención Constitucional</w:t>
      </w:r>
      <w:r w:rsidR="006F5F8A" w:rsidRPr="00D64D74">
        <w:rPr>
          <w:rFonts w:ascii="Verdana" w:hAnsi="Verdana"/>
          <w:sz w:val="32"/>
          <w:szCs w:val="32"/>
          <w:lang w:val="es-CL"/>
        </w:rPr>
        <w:t>.</w:t>
      </w:r>
    </w:p>
    <w:p w:rsidR="00FF6C6B" w:rsidRPr="00D64D74" w:rsidRDefault="00FF6C6B" w:rsidP="006132CA">
      <w:pPr>
        <w:pStyle w:val="Sinespaciado"/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F7597B" w:rsidRDefault="00F6161A" w:rsidP="006132CA">
      <w:pPr>
        <w:pStyle w:val="Ttulo1"/>
        <w:spacing w:before="0" w:after="0" w:line="360" w:lineRule="auto"/>
      </w:pPr>
      <w:bookmarkStart w:id="31" w:name="_Toc65244187"/>
      <w:r w:rsidRPr="00D64D74">
        <w:t>PALABRAS DE CIERRE Y/O DESAFÍOS</w:t>
      </w:r>
      <w:bookmarkEnd w:id="31"/>
    </w:p>
    <w:p w:rsidR="00FE56EB" w:rsidRPr="00FE56EB" w:rsidRDefault="00FE56EB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372C36" w:rsidRPr="00D64D74" w:rsidRDefault="00845923" w:rsidP="006132CA">
      <w:pPr>
        <w:pStyle w:val="Ttulo2"/>
        <w:numPr>
          <w:ilvl w:val="0"/>
          <w:numId w:val="14"/>
        </w:numPr>
        <w:spacing w:before="0" w:after="0" w:line="360" w:lineRule="auto"/>
        <w:rPr>
          <w:lang w:eastAsia="en-US"/>
        </w:rPr>
      </w:pPr>
      <w:bookmarkStart w:id="32" w:name="_Toc65244188"/>
      <w:r>
        <w:rPr>
          <w:lang w:eastAsia="en-US"/>
        </w:rPr>
        <w:t>Razones para el optimismo</w:t>
      </w:r>
      <w:bookmarkEnd w:id="32"/>
    </w:p>
    <w:p w:rsidR="003F72C7" w:rsidRPr="00D64D74" w:rsidRDefault="003F72C7" w:rsidP="006132CA">
      <w:pPr>
        <w:spacing w:line="360" w:lineRule="auto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Default="0031564F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Gran parte de lo señalado hasta el momento da cuenta de un año anormal y lleno de desafíos. El </w:t>
      </w:r>
      <w:r w:rsidR="00372C36"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estallido social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 la </w:t>
      </w:r>
      <w:r w:rsidR="00372C36"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 xml:space="preserve">pandemia 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han removido es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tructuras de nuestro país que </w:t>
      </w:r>
      <w:r w:rsidR="00372C36" w:rsidRPr="00845923">
        <w:rPr>
          <w:rFonts w:ascii="Verdana" w:eastAsia="Calibri" w:hAnsi="Verdana" w:cs="Times New Roman"/>
          <w:sz w:val="32"/>
          <w:szCs w:val="32"/>
          <w:lang w:val="es-CL" w:eastAsia="en-US"/>
        </w:rPr>
        <w:t>dábamos por sentadas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 Sin embargo, </w:t>
      </w:r>
      <w:r w:rsidR="00B70CA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las consecuencias de estos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procesos no fue</w:t>
      </w:r>
      <w:r w:rsidR="00B70CA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ron sólo negativas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</w:t>
      </w:r>
      <w:r w:rsidR="00B70CA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pues nos han dado 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la posibilidad de un nuevo comienzo. </w:t>
      </w:r>
    </w:p>
    <w:p w:rsidR="00845923" w:rsidRPr="00D64D74" w:rsidRDefault="00845923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Porque el </w:t>
      </w:r>
      <w:r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estallido social</w:t>
      </w:r>
      <w:r w:rsidR="0031564F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 las demandas ciudadanas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no se </w:t>
      </w:r>
      <w:r w:rsidR="0031564F">
        <w:rPr>
          <w:rFonts w:ascii="Verdana" w:eastAsia="Calibri" w:hAnsi="Verdana" w:cs="Times New Roman"/>
          <w:sz w:val="32"/>
          <w:szCs w:val="32"/>
          <w:lang w:val="es-CL" w:eastAsia="en-US"/>
        </w:rPr>
        <w:t>limitaron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DC2EB6">
        <w:rPr>
          <w:rFonts w:ascii="Verdana" w:eastAsia="Calibri" w:hAnsi="Verdana" w:cs="Times New Roman"/>
          <w:sz w:val="32"/>
          <w:szCs w:val="32"/>
          <w:lang w:val="es-CL" w:eastAsia="en-US"/>
        </w:rPr>
        <w:t>a una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manifestación social multitudinaria</w:t>
      </w:r>
      <w:r w:rsidR="0031564F">
        <w:rPr>
          <w:rFonts w:ascii="Verdana" w:eastAsia="Calibri" w:hAnsi="Verdana" w:cs="Times New Roman"/>
          <w:sz w:val="32"/>
          <w:szCs w:val="32"/>
          <w:lang w:val="es-CL" w:eastAsia="en-US"/>
        </w:rPr>
        <w:t>, ni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termin</w:t>
      </w:r>
      <w:r w:rsidR="0031564F">
        <w:rPr>
          <w:rFonts w:ascii="Verdana" w:eastAsia="Calibri" w:hAnsi="Verdana" w:cs="Times New Roman"/>
          <w:sz w:val="32"/>
          <w:szCs w:val="32"/>
          <w:lang w:val="es-CL" w:eastAsia="en-US"/>
        </w:rPr>
        <w:t>aron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B70CA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en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promesas legislativas menores. Hoy, de modo inédito en nuestra historia, tenemos la oportunidad ya no sólo de reescribir las bases de nuestra institucionalidad republicana con la </w:t>
      </w:r>
      <w:r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nueva Constitución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sino </w:t>
      </w:r>
      <w:r w:rsidR="00DC2EB6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que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también tenemos las garantías de un proceso en el que elegiremos una convención constituyente con representación paritaria de sexos y escaños especiales para nuestros pueblos originarios. </w:t>
      </w:r>
    </w:p>
    <w:p w:rsidR="007E741B" w:rsidRPr="00D64D74" w:rsidRDefault="007E741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Por supuesto que 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por ese hecho no tenemos el futuro asegurado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pues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todavía persisten resquemores y peligros que debemos ser capaces de sortear. Pero en esta coyuntura histórica sólo creo que cabe </w:t>
      </w:r>
      <w:r w:rsidR="00F17A40">
        <w:rPr>
          <w:rFonts w:ascii="Verdana" w:eastAsia="Calibri" w:hAnsi="Verdana" w:cs="Times New Roman"/>
          <w:sz w:val="32"/>
          <w:szCs w:val="32"/>
          <w:lang w:val="es-CL" w:eastAsia="en-US"/>
        </w:rPr>
        <w:t>la confianza en el futuro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. A pesar de todo el dolor, tenemos en el futuro, por fin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la posibilidad de construir un país distinto, más inclusivo, justo y próspero. </w:t>
      </w:r>
    </w:p>
    <w:p w:rsidR="007E741B" w:rsidRPr="00D64D74" w:rsidRDefault="007E741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Este optimismo, que para algunos podría parecer ingenuo, no sólo concierne a la manera en que ha evolucionado el tratamiento institucional de las </w:t>
      </w:r>
      <w:r w:rsidR="00B70CA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atendibles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críticas sociales. También tiene un correlato en la crisis sanitaria.</w:t>
      </w:r>
    </w:p>
    <w:p w:rsidR="003F72C7" w:rsidRPr="00D64D74" w:rsidRDefault="003F72C7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En este sentido, con alegría podemos ver c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ó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mo en el comienzo de este nuevo año judicial tenemos -por fin, después de tanto tiempo de cuarentenas y restricciones a nuestras libertades- un horizonte positivo. Chile lidera el </w:t>
      </w:r>
      <w:r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proceso de vacunación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en contra del COVID-19 en Latinoamérica y al día de hoy, millones de personas han recibido la primera dosis de su inmunización. </w:t>
      </w:r>
    </w:p>
    <w:p w:rsidR="0037542D" w:rsidRPr="00D64D74" w:rsidRDefault="0037542D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1165D1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Claro que no hemos ganado la lucha contra el coronavirus. Probablemente todavía nos 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resten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alg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unos meses difíciles y tengamos que seguir 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s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o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portando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los efectos que ha tenido en nuestras vidas. </w:t>
      </w:r>
    </w:p>
    <w:p w:rsidR="001165D1" w:rsidRPr="00D64D74" w:rsidRDefault="001165D1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Pero lo que me parece indiscutible es que 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estas crisis ha</w:t>
      </w:r>
      <w:r w:rsidR="003536EA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n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permitido poner en evidencia la realidad del país, </w:t>
      </w:r>
      <w:r w:rsidR="002D30FD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conocer las vulnerabilidades de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nuestros compatriotas,  otorgándonos una oportunidad para considerar la </w:t>
      </w:r>
      <w:r w:rsidR="00522B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superación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de los problemas advertidos</w:t>
      </w:r>
      <w:r w:rsidR="002D30FD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como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2D30FD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una instancia para 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vernos </w:t>
      </w:r>
      <w:r w:rsidR="001165D1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de frente y construir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un nuev</w:t>
      </w:r>
      <w:r w:rsidR="002D30FD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o</w:t>
      </w:r>
      <w:r w:rsidR="00E56413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espacio público en que toda nuestra diversidad tenga cabida.</w:t>
      </w:r>
    </w:p>
    <w:p w:rsidR="00845923" w:rsidRPr="00D64D74" w:rsidRDefault="00845923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pStyle w:val="Ttulo2"/>
        <w:spacing w:before="0" w:after="0" w:line="360" w:lineRule="auto"/>
        <w:rPr>
          <w:lang w:eastAsia="en-US"/>
        </w:rPr>
      </w:pPr>
      <w:bookmarkStart w:id="33" w:name="_Toc65244189"/>
      <w:r w:rsidRPr="00D64D74">
        <w:rPr>
          <w:lang w:eastAsia="en-US"/>
        </w:rPr>
        <w:t>Proyecci</w:t>
      </w:r>
      <w:r w:rsidR="002C6945" w:rsidRPr="00D64D74">
        <w:rPr>
          <w:lang w:eastAsia="en-US"/>
        </w:rPr>
        <w:t>ones</w:t>
      </w:r>
      <w:r w:rsidRPr="00D64D74">
        <w:rPr>
          <w:lang w:eastAsia="en-US"/>
        </w:rPr>
        <w:t xml:space="preserve"> y compromisos</w:t>
      </w:r>
      <w:bookmarkEnd w:id="33"/>
    </w:p>
    <w:p w:rsidR="003F72C7" w:rsidRPr="00D64D74" w:rsidRDefault="003F72C7" w:rsidP="006132CA">
      <w:pPr>
        <w:spacing w:line="360" w:lineRule="auto"/>
        <w:jc w:val="both"/>
        <w:rPr>
          <w:rFonts w:ascii="Verdana" w:eastAsia="Calibri" w:hAnsi="Verdana" w:cs="Times New Roman"/>
          <w:b/>
          <w:sz w:val="32"/>
          <w:szCs w:val="32"/>
          <w:lang w:val="es-CL" w:eastAsia="en-US"/>
        </w:rPr>
      </w:pPr>
    </w:p>
    <w:p w:rsidR="00372C36" w:rsidRPr="00D64D74" w:rsidRDefault="004262D4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>
        <w:rPr>
          <w:rFonts w:ascii="Verdana" w:eastAsia="Calibri" w:hAnsi="Verdana" w:cs="Times New Roman"/>
          <w:sz w:val="32"/>
          <w:szCs w:val="32"/>
          <w:lang w:val="es-CL" w:eastAsia="en-US"/>
        </w:rPr>
        <w:t>Hoy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el Poder Judicial reitera su compromiso con la institucionalidad, el </w:t>
      </w:r>
      <w:r w:rsidR="00EC12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respeto de los derechos humanos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 el sentido </w:t>
      </w:r>
      <w:r w:rsidR="003F72C7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republicano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de nuestro tránsito histórico. </w:t>
      </w:r>
    </w:p>
    <w:p w:rsidR="003F72C7" w:rsidRPr="00D64D74" w:rsidRDefault="003F72C7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Por este motivo </w:t>
      </w:r>
      <w:r w:rsidR="00D24304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reiteramos</w:t>
      </w:r>
      <w:r w:rsidR="00EC12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nuestra voluntad a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colaborar con el proceso constituyente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 poniendo a disposición de los miembros de la convención todo nu</w:t>
      </w:r>
      <w:r w:rsidR="00DD02EE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estro conocimiento, experiencia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 herramientas, para la configuració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n </w:t>
      </w:r>
      <w:r w:rsidR="00F2734C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de un 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nuevo pacto social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F2734C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que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se funde en bases empíricas sólidas.</w:t>
      </w:r>
    </w:p>
    <w:p w:rsidR="003F72C7" w:rsidRPr="00D64D74" w:rsidRDefault="003F72C7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Asimismo, </w:t>
      </w:r>
      <w:r w:rsidR="00717BBC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ratificamo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s nues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tro </w:t>
      </w:r>
      <w:r w:rsidR="007E741B"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>compromiso con la legalidad</w:t>
      </w:r>
      <w:r w:rsidRPr="00D64D74">
        <w:rPr>
          <w:rFonts w:ascii="Verdana" w:eastAsia="Calibri" w:hAnsi="Verdana" w:cs="Times New Roman"/>
          <w:b/>
          <w:sz w:val="32"/>
          <w:szCs w:val="32"/>
          <w:lang w:val="es-CL" w:eastAsia="en-US"/>
        </w:rPr>
        <w:t xml:space="preserve"> y el respeto de los derechos humanos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. No vamos a claudicar en nuestra misión de q</w:t>
      </w:r>
      <w:r w:rsidR="00F2734C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ue se respete el debido proceso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 en que se ponga fin a todas las situaciones de abuso que se presenten, conforme a nuestro mandato constitucional, imparcialmente, vengan de d</w:t>
      </w:r>
      <w:r w:rsidR="003F72C7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nde vengan.</w:t>
      </w:r>
    </w:p>
    <w:p w:rsidR="003F72C7" w:rsidRPr="00D64D74" w:rsidRDefault="003F72C7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Entendemos nuestra misión como tributaria de un orden democrático, </w:t>
      </w:r>
      <w:r w:rsidR="00DC773E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fundado en la igualdad ante ley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y</w:t>
      </w:r>
      <w:r w:rsidR="00DC773E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por lo mismo, insistiremos en que </w:t>
      </w:r>
      <w:r w:rsidR="00C60CD7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el único camino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posible para el desarrollo de </w:t>
      </w:r>
      <w:r w:rsidR="00DC773E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nuestra sociedad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es la vía institucional y pacífica.  </w:t>
      </w:r>
    </w:p>
    <w:p w:rsidR="007E741B" w:rsidRPr="00D64D74" w:rsidRDefault="007E741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EC12F8" w:rsidRDefault="00372C36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Por último, quiero </w:t>
      </w:r>
      <w:r w:rsidR="00FA4AC0">
        <w:rPr>
          <w:rFonts w:ascii="Verdana" w:eastAsia="Calibri" w:hAnsi="Verdana" w:cs="Times New Roman"/>
          <w:sz w:val="32"/>
          <w:szCs w:val="32"/>
          <w:lang w:val="es-CL" w:eastAsia="en-US"/>
        </w:rPr>
        <w:t>enfatizar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FA4AC0">
        <w:rPr>
          <w:rFonts w:ascii="Verdana" w:eastAsia="Calibri" w:hAnsi="Verdana" w:cs="Times New Roman"/>
          <w:sz w:val="32"/>
          <w:szCs w:val="32"/>
          <w:lang w:val="es-CL" w:eastAsia="en-US"/>
        </w:rPr>
        <w:t>nuestro c</w:t>
      </w:r>
      <w:r w:rsidR="001165D1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ompromiso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para </w:t>
      </w:r>
      <w:r w:rsidR="00FA4AC0">
        <w:rPr>
          <w:rFonts w:ascii="Verdana" w:eastAsia="Calibri" w:hAnsi="Verdana" w:cs="Times New Roman"/>
          <w:sz w:val="32"/>
          <w:szCs w:val="32"/>
          <w:lang w:val="es-CL" w:eastAsia="en-US"/>
        </w:rPr>
        <w:t>superar los efectos perniciosos de la pandemia en el ámbito judicial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Por ello</w:t>
      </w:r>
      <w:r w:rsidR="00EC12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 promoveremos</w:t>
      </w:r>
      <w:r w:rsidR="00FA4AC0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decididamente </w:t>
      </w:r>
      <w:r w:rsidR="00EC12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el regreso a la presencialidad conforme a los lineamientos que entregue la autoridad sanitaria, compatibilizando la continuidad del servicio judicial con el debido resguardo de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la salud </w:t>
      </w:r>
      <w:r w:rsidR="00FA4AC0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de nuestros usuarios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y funcionarios</w:t>
      </w:r>
      <w:r w:rsidR="00DC773E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. </w:t>
      </w:r>
      <w:r w:rsidR="0018731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Cuestión que pretendemos seguir </w:t>
      </w:r>
      <w:r w:rsidR="00FA4AC0">
        <w:rPr>
          <w:rFonts w:ascii="Verdana" w:eastAsia="Calibri" w:hAnsi="Verdana" w:cs="Times New Roman"/>
          <w:sz w:val="32"/>
          <w:szCs w:val="32"/>
          <w:lang w:val="es-CL" w:eastAsia="en-US"/>
        </w:rPr>
        <w:t>impulsando</w:t>
      </w:r>
      <w:r w:rsidR="00CB54A8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en conjunto</w:t>
      </w:r>
      <w:r w:rsidR="0018731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con las asociaciones gremiales de nuestra institución. </w:t>
      </w:r>
    </w:p>
    <w:p w:rsidR="00FA4AC0" w:rsidRPr="00D64D74" w:rsidRDefault="00FA4AC0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Pr="00D64D74" w:rsidRDefault="00954CBB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Además, pensando ya en la</w:t>
      </w:r>
      <w:r w:rsidR="00EC12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vuelta a la normalidad que se avecina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</w:t>
      </w:r>
      <w:r w:rsidR="0055792A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hemos preparado propuestas 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para </w:t>
      </w:r>
      <w:r w:rsidR="007E741B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superar la acumulación de causas 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que ha generado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la p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andemia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 para lo cual necesitamos, desde luego, el apoyo del Ejecutivo y del L</w:t>
      </w:r>
      <w:r w:rsidR="00EC12F8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egislador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. Con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el uso exclusivo de los recursos existentes no será posible recuperar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en tiempos razonables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,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la oportunidad que la impartición de justicia ha perdido </w:t>
      </w:r>
      <w:r w:rsidR="00CB54A8">
        <w:rPr>
          <w:rFonts w:ascii="Verdana" w:eastAsia="Calibri" w:hAnsi="Verdana" w:cs="Times New Roman"/>
          <w:sz w:val="32"/>
          <w:szCs w:val="32"/>
          <w:lang w:val="es-CL" w:eastAsia="en-US"/>
        </w:rPr>
        <w:t>producto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de la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crisis sanitaria</w:t>
      </w:r>
      <w:r w:rsidR="002C6945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.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</w:p>
    <w:p w:rsidR="003F72C7" w:rsidRPr="00D64D74" w:rsidRDefault="003F72C7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372C36" w:rsidRDefault="0055792A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Sólo con </w:t>
      </w:r>
      <w:r w:rsidR="008A0820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la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voluntad mancomunada de todos los poderes del Estado, de los distintos intervinientes de los procesos judiciales y</w:t>
      </w:r>
      <w:r w:rsidR="00CB54A8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naturalmente, con nuestro ímpetu, será posible,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en un futuro cercano</w:t>
      </w:r>
      <w:r w:rsidR="00CB54A8">
        <w:rPr>
          <w:rFonts w:ascii="Verdana" w:eastAsia="Calibri" w:hAnsi="Verdana" w:cs="Times New Roman"/>
          <w:sz w:val="32"/>
          <w:szCs w:val="32"/>
          <w:lang w:val="es-CL" w:eastAsia="en-US"/>
        </w:rPr>
        <w:t>,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regresar no sólo a la tan ansiada normalidad, sino a una </w:t>
      </w:r>
      <w:r w:rsidR="00372C36" w:rsidRPr="00D64D74">
        <w:rPr>
          <w:rFonts w:ascii="Verdana" w:eastAsia="Calibri" w:hAnsi="Verdana" w:cs="Times New Roman"/>
          <w:i/>
          <w:sz w:val="32"/>
          <w:szCs w:val="32"/>
          <w:lang w:val="es-CL" w:eastAsia="en-US"/>
        </w:rPr>
        <w:t>mejor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normalidad, </w:t>
      </w:r>
      <w:r w:rsidR="00CB54A8">
        <w:rPr>
          <w:rFonts w:ascii="Verdana" w:eastAsia="Calibri" w:hAnsi="Verdana" w:cs="Times New Roman"/>
          <w:sz w:val="32"/>
          <w:szCs w:val="32"/>
          <w:lang w:val="es-CL" w:eastAsia="en-US"/>
        </w:rPr>
        <w:t>con una justicia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moderna y </w:t>
      </w:r>
      <w:r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oportuna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, que </w:t>
      </w:r>
      <w:r w:rsidR="008A0820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>aproveche</w:t>
      </w:r>
      <w:r w:rsidR="00372C36" w:rsidRPr="00D64D74">
        <w:rPr>
          <w:rFonts w:ascii="Verdana" w:eastAsia="Calibri" w:hAnsi="Verdana" w:cs="Times New Roman"/>
          <w:sz w:val="32"/>
          <w:szCs w:val="32"/>
          <w:lang w:val="es-CL" w:eastAsia="en-US"/>
        </w:rPr>
        <w:t xml:space="preserve"> el conocimiento acumulado durante estos meses, de un modo que contribuya a perfilar el que esperamos sea el nuevo Chile</w:t>
      </w:r>
      <w:r w:rsidR="00845923">
        <w:rPr>
          <w:rFonts w:ascii="Verdana" w:eastAsia="Calibri" w:hAnsi="Verdana" w:cs="Times New Roman"/>
          <w:sz w:val="32"/>
          <w:szCs w:val="32"/>
          <w:lang w:val="es-CL" w:eastAsia="en-US"/>
        </w:rPr>
        <w:t>.</w:t>
      </w:r>
    </w:p>
    <w:p w:rsidR="00187314" w:rsidRDefault="00187314" w:rsidP="006132CA">
      <w:pPr>
        <w:spacing w:line="360" w:lineRule="auto"/>
        <w:ind w:firstLine="720"/>
        <w:jc w:val="both"/>
        <w:rPr>
          <w:rFonts w:ascii="Verdana" w:eastAsia="Calibri" w:hAnsi="Verdana" w:cs="Times New Roman"/>
          <w:sz w:val="32"/>
          <w:szCs w:val="32"/>
          <w:lang w:val="es-CL" w:eastAsia="en-US"/>
        </w:rPr>
      </w:pPr>
    </w:p>
    <w:p w:rsidR="00BF7FBC" w:rsidRPr="00255D06" w:rsidRDefault="00BF7FBC" w:rsidP="006132CA">
      <w:pPr>
        <w:spacing w:line="360" w:lineRule="auto"/>
        <w:ind w:firstLine="708"/>
        <w:jc w:val="both"/>
        <w:rPr>
          <w:rFonts w:ascii="Verdana" w:hAnsi="Verdana"/>
          <w:sz w:val="32"/>
          <w:szCs w:val="32"/>
          <w:lang w:val="es-CL"/>
        </w:rPr>
      </w:pPr>
      <w:r w:rsidRPr="00255D06">
        <w:rPr>
          <w:rFonts w:ascii="Verdana" w:hAnsi="Verdana"/>
          <w:sz w:val="32"/>
          <w:szCs w:val="32"/>
          <w:lang w:val="es-CL"/>
        </w:rPr>
        <w:t>Con lo expuesto, declaro inaugurado el Año Judicial 2021.</w:t>
      </w:r>
    </w:p>
    <w:p w:rsidR="00BF7FBC" w:rsidRPr="00255D06" w:rsidRDefault="00BF7FBC" w:rsidP="006132CA">
      <w:pPr>
        <w:spacing w:line="360" w:lineRule="auto"/>
        <w:rPr>
          <w:rFonts w:ascii="Verdana" w:hAnsi="Verdana"/>
          <w:sz w:val="32"/>
          <w:szCs w:val="32"/>
          <w:lang w:val="es-CL"/>
        </w:rPr>
      </w:pPr>
    </w:p>
    <w:p w:rsidR="00BF7FBC" w:rsidRDefault="00BF7FBC" w:rsidP="006132CA">
      <w:pPr>
        <w:spacing w:line="360" w:lineRule="auto"/>
        <w:ind w:firstLine="708"/>
        <w:jc w:val="both"/>
        <w:rPr>
          <w:rFonts w:ascii="Verdana" w:hAnsi="Verdana"/>
          <w:sz w:val="32"/>
          <w:szCs w:val="32"/>
          <w:lang w:val="es-CL"/>
        </w:rPr>
      </w:pPr>
      <w:r w:rsidRPr="00255D06">
        <w:rPr>
          <w:rFonts w:ascii="Verdana" w:hAnsi="Verdana"/>
          <w:sz w:val="32"/>
          <w:szCs w:val="32"/>
          <w:lang w:val="es-CL"/>
        </w:rPr>
        <w:t xml:space="preserve">Habiéndose cumplido el objetivo de esta audiencia pública, se levanta la sesión. </w:t>
      </w:r>
    </w:p>
    <w:p w:rsidR="001C1907" w:rsidRPr="00255D06" w:rsidRDefault="001C1907" w:rsidP="006132CA">
      <w:pPr>
        <w:spacing w:line="360" w:lineRule="auto"/>
        <w:ind w:firstLine="708"/>
        <w:rPr>
          <w:rFonts w:ascii="Verdana" w:hAnsi="Verdana"/>
          <w:sz w:val="32"/>
          <w:szCs w:val="32"/>
          <w:lang w:val="es-CL"/>
        </w:rPr>
      </w:pPr>
    </w:p>
    <w:p w:rsidR="00212473" w:rsidRDefault="00BF7FBC" w:rsidP="006132CA">
      <w:pPr>
        <w:spacing w:line="360" w:lineRule="auto"/>
        <w:ind w:firstLine="708"/>
        <w:rPr>
          <w:rFonts w:ascii="Verdana" w:hAnsi="Verdana"/>
          <w:b/>
          <w:sz w:val="32"/>
          <w:szCs w:val="32"/>
          <w:highlight w:val="yellow"/>
          <w:lang w:val="es-CL"/>
        </w:rPr>
      </w:pPr>
      <w:r w:rsidRPr="00255D06">
        <w:rPr>
          <w:rFonts w:ascii="Verdana" w:hAnsi="Verdana"/>
          <w:sz w:val="32"/>
          <w:szCs w:val="32"/>
          <w:lang w:val="es-CL"/>
        </w:rPr>
        <w:t>Muchas gracias.</w:t>
      </w:r>
      <w:r w:rsidRPr="00255D06">
        <w:rPr>
          <w:rFonts w:ascii="Verdana" w:eastAsia="MS Mincho" w:hAnsi="Verdana"/>
          <w:sz w:val="32"/>
          <w:szCs w:val="32"/>
          <w:lang w:val="es-CL" w:eastAsia="es-ES"/>
        </w:rPr>
        <w:t xml:space="preserve"> </w:t>
      </w:r>
    </w:p>
    <w:p w:rsidR="00BF7FBC" w:rsidRDefault="00BF7FBC" w:rsidP="006132CA">
      <w:pPr>
        <w:spacing w:line="360" w:lineRule="auto"/>
        <w:ind w:firstLine="720"/>
        <w:jc w:val="both"/>
        <w:rPr>
          <w:rFonts w:ascii="Verdana" w:hAnsi="Verdana"/>
          <w:b/>
          <w:sz w:val="32"/>
          <w:szCs w:val="32"/>
          <w:highlight w:val="yellow"/>
          <w:lang w:val="es-CL"/>
        </w:rPr>
      </w:pPr>
    </w:p>
    <w:p w:rsidR="00BF7FBC" w:rsidRPr="00BF7FBC" w:rsidRDefault="00BF7FBC" w:rsidP="006132CA">
      <w:pPr>
        <w:spacing w:line="360" w:lineRule="auto"/>
        <w:jc w:val="center"/>
        <w:rPr>
          <w:rFonts w:ascii="Verdana" w:hAnsi="Verdana"/>
          <w:b/>
          <w:sz w:val="32"/>
          <w:szCs w:val="32"/>
          <w:lang w:val="es-CL"/>
        </w:rPr>
      </w:pPr>
      <w:r w:rsidRPr="00BF7FBC">
        <w:rPr>
          <w:rFonts w:ascii="Verdana" w:hAnsi="Verdana"/>
          <w:b/>
          <w:sz w:val="32"/>
          <w:szCs w:val="32"/>
          <w:lang w:val="es-CL"/>
        </w:rPr>
        <w:t>Guillermo Silva Gundelach</w:t>
      </w:r>
    </w:p>
    <w:p w:rsidR="00BF7FBC" w:rsidRDefault="00BF7FBC" w:rsidP="006132CA">
      <w:pPr>
        <w:spacing w:line="360" w:lineRule="auto"/>
        <w:jc w:val="center"/>
        <w:rPr>
          <w:rFonts w:ascii="Verdana" w:hAnsi="Verdana"/>
          <w:b/>
          <w:sz w:val="32"/>
          <w:szCs w:val="32"/>
          <w:lang w:val="es-CL"/>
        </w:rPr>
      </w:pPr>
      <w:r w:rsidRPr="00BF7FBC">
        <w:rPr>
          <w:rFonts w:ascii="Verdana" w:hAnsi="Verdana"/>
          <w:b/>
          <w:sz w:val="32"/>
          <w:szCs w:val="32"/>
          <w:lang w:val="es-CL"/>
        </w:rPr>
        <w:t>Presidente d</w:t>
      </w:r>
      <w:r w:rsidR="00DD6041">
        <w:rPr>
          <w:rFonts w:ascii="Verdana" w:hAnsi="Verdana"/>
          <w:b/>
          <w:sz w:val="32"/>
          <w:szCs w:val="32"/>
          <w:lang w:val="es-CL"/>
        </w:rPr>
        <w:t>e la Corte Suprema de Justicia</w:t>
      </w:r>
    </w:p>
    <w:sectPr w:rsidR="00BF7FBC" w:rsidSect="00BB694D">
      <w:footerReference w:type="default" r:id="rId9"/>
      <w:pgSz w:w="12242" w:h="18722" w:code="1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C4" w:rsidRDefault="00953EC4">
      <w:pPr>
        <w:spacing w:line="240" w:lineRule="auto"/>
      </w:pPr>
      <w:r>
        <w:separator/>
      </w:r>
    </w:p>
  </w:endnote>
  <w:endnote w:type="continuationSeparator" w:id="0">
    <w:p w:rsidR="00953EC4" w:rsidRDefault="0095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04631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C63183" w:rsidRPr="002C6945" w:rsidRDefault="00C63183">
        <w:pPr>
          <w:pStyle w:val="Piedepgina"/>
          <w:jc w:val="center"/>
          <w:rPr>
            <w:rFonts w:ascii="Verdana" w:hAnsi="Verdana"/>
          </w:rPr>
        </w:pPr>
        <w:r w:rsidRPr="002C6945">
          <w:rPr>
            <w:rFonts w:ascii="Verdana" w:hAnsi="Verdana"/>
          </w:rPr>
          <w:fldChar w:fldCharType="begin"/>
        </w:r>
        <w:r w:rsidRPr="002C6945">
          <w:rPr>
            <w:rFonts w:ascii="Verdana" w:hAnsi="Verdana"/>
          </w:rPr>
          <w:instrText>PAGE   \* MERGEFORMAT</w:instrText>
        </w:r>
        <w:r w:rsidRPr="002C6945">
          <w:rPr>
            <w:rFonts w:ascii="Verdana" w:hAnsi="Verdana"/>
          </w:rPr>
          <w:fldChar w:fldCharType="separate"/>
        </w:r>
        <w:r w:rsidR="00946A25" w:rsidRPr="00946A25">
          <w:rPr>
            <w:rFonts w:ascii="Verdana" w:hAnsi="Verdana"/>
            <w:noProof/>
            <w:lang w:val="es-ES"/>
          </w:rPr>
          <w:t>1</w:t>
        </w:r>
        <w:r w:rsidRPr="002C6945">
          <w:rPr>
            <w:rFonts w:ascii="Verdana" w:hAnsi="Verdana"/>
          </w:rPr>
          <w:fldChar w:fldCharType="end"/>
        </w:r>
      </w:p>
    </w:sdtContent>
  </w:sdt>
  <w:p w:rsidR="00C63183" w:rsidRDefault="00C631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C4" w:rsidRDefault="00953EC4">
      <w:pPr>
        <w:spacing w:line="240" w:lineRule="auto"/>
      </w:pPr>
      <w:r>
        <w:separator/>
      </w:r>
    </w:p>
  </w:footnote>
  <w:footnote w:type="continuationSeparator" w:id="0">
    <w:p w:rsidR="00953EC4" w:rsidRDefault="00953E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F3"/>
    <w:multiLevelType w:val="hybridMultilevel"/>
    <w:tmpl w:val="CC8A5898"/>
    <w:lvl w:ilvl="0" w:tplc="300EDD5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E36C0A" w:themeColor="accent6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15E"/>
    <w:multiLevelType w:val="hybridMultilevel"/>
    <w:tmpl w:val="A93855AE"/>
    <w:lvl w:ilvl="0" w:tplc="F3DE411E">
      <w:start w:val="3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028"/>
    <w:multiLevelType w:val="multilevel"/>
    <w:tmpl w:val="47E47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4C575D"/>
    <w:multiLevelType w:val="multilevel"/>
    <w:tmpl w:val="2F1CB2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74619C7"/>
    <w:multiLevelType w:val="hybridMultilevel"/>
    <w:tmpl w:val="EE503B0A"/>
    <w:lvl w:ilvl="0" w:tplc="CDD278A0">
      <w:start w:val="1"/>
      <w:numFmt w:val="upperRoman"/>
      <w:pStyle w:val="Ttulo1"/>
      <w:lvlText w:val="%1.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27FD"/>
    <w:multiLevelType w:val="hybridMultilevel"/>
    <w:tmpl w:val="0EB22AE2"/>
    <w:lvl w:ilvl="0" w:tplc="8130A534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340A0019">
      <w:start w:val="1"/>
      <w:numFmt w:val="lowerLetter"/>
      <w:lvlText w:val="%2."/>
      <w:lvlJc w:val="left"/>
      <w:pPr>
        <w:ind w:left="-3381" w:hanging="360"/>
      </w:pPr>
    </w:lvl>
    <w:lvl w:ilvl="2" w:tplc="340A001B">
      <w:start w:val="1"/>
      <w:numFmt w:val="lowerRoman"/>
      <w:lvlText w:val="%3."/>
      <w:lvlJc w:val="right"/>
      <w:pPr>
        <w:ind w:left="-2661" w:hanging="180"/>
      </w:pPr>
    </w:lvl>
    <w:lvl w:ilvl="3" w:tplc="340A000F">
      <w:start w:val="1"/>
      <w:numFmt w:val="decimal"/>
      <w:lvlText w:val="%4."/>
      <w:lvlJc w:val="left"/>
      <w:pPr>
        <w:ind w:left="-1941" w:hanging="360"/>
      </w:pPr>
    </w:lvl>
    <w:lvl w:ilvl="4" w:tplc="340A0019">
      <w:start w:val="1"/>
      <w:numFmt w:val="lowerLetter"/>
      <w:lvlText w:val="%5."/>
      <w:lvlJc w:val="left"/>
      <w:pPr>
        <w:ind w:left="-1221" w:hanging="360"/>
      </w:pPr>
    </w:lvl>
    <w:lvl w:ilvl="5" w:tplc="340A001B">
      <w:start w:val="1"/>
      <w:numFmt w:val="lowerRoman"/>
      <w:lvlText w:val="%6."/>
      <w:lvlJc w:val="right"/>
      <w:pPr>
        <w:ind w:left="-501" w:hanging="180"/>
      </w:pPr>
    </w:lvl>
    <w:lvl w:ilvl="6" w:tplc="340A000F" w:tentative="1">
      <w:start w:val="1"/>
      <w:numFmt w:val="decimal"/>
      <w:lvlText w:val="%7."/>
      <w:lvlJc w:val="left"/>
      <w:pPr>
        <w:ind w:left="219" w:hanging="360"/>
      </w:pPr>
    </w:lvl>
    <w:lvl w:ilvl="7" w:tplc="340A0019" w:tentative="1">
      <w:start w:val="1"/>
      <w:numFmt w:val="lowerLetter"/>
      <w:lvlText w:val="%8."/>
      <w:lvlJc w:val="left"/>
      <w:pPr>
        <w:ind w:left="939" w:hanging="360"/>
      </w:pPr>
    </w:lvl>
    <w:lvl w:ilvl="8" w:tplc="340A001B" w:tentative="1">
      <w:start w:val="1"/>
      <w:numFmt w:val="lowerRoman"/>
      <w:lvlText w:val="%9."/>
      <w:lvlJc w:val="right"/>
      <w:pPr>
        <w:ind w:left="1659" w:hanging="180"/>
      </w:pPr>
    </w:lvl>
  </w:abstractNum>
  <w:abstractNum w:abstractNumId="6">
    <w:nsid w:val="551269C4"/>
    <w:multiLevelType w:val="hybridMultilevel"/>
    <w:tmpl w:val="A3CE8D9C"/>
    <w:lvl w:ilvl="0" w:tplc="300EDD5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E36C0A" w:themeColor="accent6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44FA6"/>
    <w:multiLevelType w:val="hybridMultilevel"/>
    <w:tmpl w:val="F056B534"/>
    <w:lvl w:ilvl="0" w:tplc="0FA6A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273F"/>
    <w:multiLevelType w:val="hybridMultilevel"/>
    <w:tmpl w:val="AC888B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411AC"/>
    <w:multiLevelType w:val="hybridMultilevel"/>
    <w:tmpl w:val="4D6EE6AA"/>
    <w:lvl w:ilvl="0" w:tplc="300EDD5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E36C0A" w:themeColor="accent6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F424E"/>
    <w:multiLevelType w:val="hybridMultilevel"/>
    <w:tmpl w:val="1988FF0C"/>
    <w:lvl w:ilvl="0" w:tplc="9202E6A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60FD"/>
    <w:multiLevelType w:val="hybridMultilevel"/>
    <w:tmpl w:val="29DC22BE"/>
    <w:lvl w:ilvl="0" w:tplc="A8C2976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355A81"/>
    <w:multiLevelType w:val="hybridMultilevel"/>
    <w:tmpl w:val="FBF0E8DC"/>
    <w:lvl w:ilvl="0" w:tplc="1D4A1244">
      <w:start w:val="1"/>
      <w:numFmt w:val="lowerRoman"/>
      <w:lvlText w:val="(%1)"/>
      <w:lvlJc w:val="left"/>
      <w:pPr>
        <w:ind w:left="1968" w:hanging="12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801"/>
    <w:rsid w:val="0000514B"/>
    <w:rsid w:val="0000544A"/>
    <w:rsid w:val="0002053E"/>
    <w:rsid w:val="00023929"/>
    <w:rsid w:val="00044121"/>
    <w:rsid w:val="00055FB9"/>
    <w:rsid w:val="00056460"/>
    <w:rsid w:val="000571A8"/>
    <w:rsid w:val="00060343"/>
    <w:rsid w:val="00060D3D"/>
    <w:rsid w:val="000660E4"/>
    <w:rsid w:val="00070465"/>
    <w:rsid w:val="0007581D"/>
    <w:rsid w:val="00093AD9"/>
    <w:rsid w:val="00094C3E"/>
    <w:rsid w:val="000B16E5"/>
    <w:rsid w:val="000B17CE"/>
    <w:rsid w:val="000B3E51"/>
    <w:rsid w:val="000B7B1F"/>
    <w:rsid w:val="000D3CB5"/>
    <w:rsid w:val="000D62F7"/>
    <w:rsid w:val="000E0630"/>
    <w:rsid w:val="000F4BB8"/>
    <w:rsid w:val="001165D1"/>
    <w:rsid w:val="001170E1"/>
    <w:rsid w:val="00117252"/>
    <w:rsid w:val="0012174B"/>
    <w:rsid w:val="001338A0"/>
    <w:rsid w:val="00134924"/>
    <w:rsid w:val="00137B86"/>
    <w:rsid w:val="001400E0"/>
    <w:rsid w:val="0014025A"/>
    <w:rsid w:val="00147F46"/>
    <w:rsid w:val="001507D7"/>
    <w:rsid w:val="001549B2"/>
    <w:rsid w:val="00155D6A"/>
    <w:rsid w:val="00155FBD"/>
    <w:rsid w:val="00157466"/>
    <w:rsid w:val="00157D89"/>
    <w:rsid w:val="00162994"/>
    <w:rsid w:val="001836BF"/>
    <w:rsid w:val="00183A8C"/>
    <w:rsid w:val="00186D87"/>
    <w:rsid w:val="00187314"/>
    <w:rsid w:val="00191E95"/>
    <w:rsid w:val="001925BF"/>
    <w:rsid w:val="00195DB6"/>
    <w:rsid w:val="001A2D6A"/>
    <w:rsid w:val="001A3134"/>
    <w:rsid w:val="001A3D80"/>
    <w:rsid w:val="001A79C5"/>
    <w:rsid w:val="001B0B14"/>
    <w:rsid w:val="001B3AD8"/>
    <w:rsid w:val="001B6E91"/>
    <w:rsid w:val="001C0537"/>
    <w:rsid w:val="001C1907"/>
    <w:rsid w:val="001D05E2"/>
    <w:rsid w:val="001D3186"/>
    <w:rsid w:val="001D4C0D"/>
    <w:rsid w:val="001E1643"/>
    <w:rsid w:val="001E6557"/>
    <w:rsid w:val="001F0CB2"/>
    <w:rsid w:val="001F27D2"/>
    <w:rsid w:val="001F4780"/>
    <w:rsid w:val="00200B69"/>
    <w:rsid w:val="002023F3"/>
    <w:rsid w:val="002056F5"/>
    <w:rsid w:val="0020761E"/>
    <w:rsid w:val="00212473"/>
    <w:rsid w:val="002154D5"/>
    <w:rsid w:val="002219D3"/>
    <w:rsid w:val="0022678F"/>
    <w:rsid w:val="0022691B"/>
    <w:rsid w:val="00251827"/>
    <w:rsid w:val="00255D06"/>
    <w:rsid w:val="00256466"/>
    <w:rsid w:val="002642DB"/>
    <w:rsid w:val="0027532A"/>
    <w:rsid w:val="002774D1"/>
    <w:rsid w:val="00286E66"/>
    <w:rsid w:val="00287AD3"/>
    <w:rsid w:val="00296E09"/>
    <w:rsid w:val="002A6762"/>
    <w:rsid w:val="002B3ABE"/>
    <w:rsid w:val="002B4257"/>
    <w:rsid w:val="002B48C4"/>
    <w:rsid w:val="002C2CA3"/>
    <w:rsid w:val="002C402D"/>
    <w:rsid w:val="002C6945"/>
    <w:rsid w:val="002D1111"/>
    <w:rsid w:val="002D1F99"/>
    <w:rsid w:val="002D30FD"/>
    <w:rsid w:val="002E33CE"/>
    <w:rsid w:val="002E6158"/>
    <w:rsid w:val="002F0334"/>
    <w:rsid w:val="002F262D"/>
    <w:rsid w:val="002F43E5"/>
    <w:rsid w:val="00313373"/>
    <w:rsid w:val="00314375"/>
    <w:rsid w:val="0031564F"/>
    <w:rsid w:val="00320C92"/>
    <w:rsid w:val="00322DBF"/>
    <w:rsid w:val="003312E7"/>
    <w:rsid w:val="00332922"/>
    <w:rsid w:val="003536EA"/>
    <w:rsid w:val="003560D7"/>
    <w:rsid w:val="00362669"/>
    <w:rsid w:val="00364761"/>
    <w:rsid w:val="00365025"/>
    <w:rsid w:val="00366C70"/>
    <w:rsid w:val="00370758"/>
    <w:rsid w:val="00372C36"/>
    <w:rsid w:val="0037542D"/>
    <w:rsid w:val="00380F75"/>
    <w:rsid w:val="0038597A"/>
    <w:rsid w:val="00397CC6"/>
    <w:rsid w:val="003A1EEA"/>
    <w:rsid w:val="003A632E"/>
    <w:rsid w:val="003C1E05"/>
    <w:rsid w:val="003D1033"/>
    <w:rsid w:val="003E1CD3"/>
    <w:rsid w:val="003E5A3C"/>
    <w:rsid w:val="003F17BB"/>
    <w:rsid w:val="003F2D27"/>
    <w:rsid w:val="003F4D4A"/>
    <w:rsid w:val="003F6FAA"/>
    <w:rsid w:val="003F72C7"/>
    <w:rsid w:val="00401CEC"/>
    <w:rsid w:val="00402419"/>
    <w:rsid w:val="004110C8"/>
    <w:rsid w:val="004115D4"/>
    <w:rsid w:val="00412337"/>
    <w:rsid w:val="00415DC9"/>
    <w:rsid w:val="004174E8"/>
    <w:rsid w:val="00420F97"/>
    <w:rsid w:val="00422B80"/>
    <w:rsid w:val="004254F2"/>
    <w:rsid w:val="004262D4"/>
    <w:rsid w:val="00433306"/>
    <w:rsid w:val="00437C3E"/>
    <w:rsid w:val="00445F27"/>
    <w:rsid w:val="0045115F"/>
    <w:rsid w:val="004529C1"/>
    <w:rsid w:val="00463AFF"/>
    <w:rsid w:val="00464667"/>
    <w:rsid w:val="004655C7"/>
    <w:rsid w:val="00480483"/>
    <w:rsid w:val="00481936"/>
    <w:rsid w:val="00485B4F"/>
    <w:rsid w:val="004864CC"/>
    <w:rsid w:val="00491ABF"/>
    <w:rsid w:val="00494903"/>
    <w:rsid w:val="00496685"/>
    <w:rsid w:val="004C153E"/>
    <w:rsid w:val="004D055B"/>
    <w:rsid w:val="004D212F"/>
    <w:rsid w:val="004D2C6A"/>
    <w:rsid w:val="004D3C81"/>
    <w:rsid w:val="004D72E5"/>
    <w:rsid w:val="004E162D"/>
    <w:rsid w:val="004E7614"/>
    <w:rsid w:val="00505F33"/>
    <w:rsid w:val="00507C1D"/>
    <w:rsid w:val="005169A4"/>
    <w:rsid w:val="00522BF8"/>
    <w:rsid w:val="005263AF"/>
    <w:rsid w:val="005363EC"/>
    <w:rsid w:val="0055792A"/>
    <w:rsid w:val="005666AE"/>
    <w:rsid w:val="0058017A"/>
    <w:rsid w:val="005876A9"/>
    <w:rsid w:val="005A0CBF"/>
    <w:rsid w:val="005A0DF8"/>
    <w:rsid w:val="005A488D"/>
    <w:rsid w:val="005B2972"/>
    <w:rsid w:val="005C02BD"/>
    <w:rsid w:val="005C21AE"/>
    <w:rsid w:val="005C5712"/>
    <w:rsid w:val="005D12F3"/>
    <w:rsid w:val="005D4586"/>
    <w:rsid w:val="005D7DF3"/>
    <w:rsid w:val="005E0017"/>
    <w:rsid w:val="005E1A9B"/>
    <w:rsid w:val="005E4CBF"/>
    <w:rsid w:val="005F2A84"/>
    <w:rsid w:val="00600C8E"/>
    <w:rsid w:val="0060366D"/>
    <w:rsid w:val="00603FB1"/>
    <w:rsid w:val="006106A8"/>
    <w:rsid w:val="006132CA"/>
    <w:rsid w:val="00614229"/>
    <w:rsid w:val="00616D99"/>
    <w:rsid w:val="006224BF"/>
    <w:rsid w:val="006238F5"/>
    <w:rsid w:val="00626C9E"/>
    <w:rsid w:val="006306AD"/>
    <w:rsid w:val="0063207A"/>
    <w:rsid w:val="00641D56"/>
    <w:rsid w:val="00645B1C"/>
    <w:rsid w:val="0065097D"/>
    <w:rsid w:val="00651E0A"/>
    <w:rsid w:val="00653E85"/>
    <w:rsid w:val="006543BA"/>
    <w:rsid w:val="00662EEF"/>
    <w:rsid w:val="006630E5"/>
    <w:rsid w:val="006648B2"/>
    <w:rsid w:val="00667F7E"/>
    <w:rsid w:val="00682E40"/>
    <w:rsid w:val="006838CC"/>
    <w:rsid w:val="006877ED"/>
    <w:rsid w:val="00690010"/>
    <w:rsid w:val="00690078"/>
    <w:rsid w:val="00690AAE"/>
    <w:rsid w:val="006946F5"/>
    <w:rsid w:val="00695198"/>
    <w:rsid w:val="006A377B"/>
    <w:rsid w:val="006A5C09"/>
    <w:rsid w:val="006B05DB"/>
    <w:rsid w:val="006B645C"/>
    <w:rsid w:val="006B705B"/>
    <w:rsid w:val="006C3429"/>
    <w:rsid w:val="006C3CF5"/>
    <w:rsid w:val="006D16D2"/>
    <w:rsid w:val="006F1FAD"/>
    <w:rsid w:val="006F547B"/>
    <w:rsid w:val="006F5F8A"/>
    <w:rsid w:val="00700217"/>
    <w:rsid w:val="007032C8"/>
    <w:rsid w:val="00706422"/>
    <w:rsid w:val="00707D5D"/>
    <w:rsid w:val="00714809"/>
    <w:rsid w:val="007177B0"/>
    <w:rsid w:val="00717BBC"/>
    <w:rsid w:val="00720D52"/>
    <w:rsid w:val="0072643E"/>
    <w:rsid w:val="00730D22"/>
    <w:rsid w:val="0073245B"/>
    <w:rsid w:val="00734472"/>
    <w:rsid w:val="00744633"/>
    <w:rsid w:val="00745B97"/>
    <w:rsid w:val="00745C20"/>
    <w:rsid w:val="007507E8"/>
    <w:rsid w:val="00754FF0"/>
    <w:rsid w:val="00756BB8"/>
    <w:rsid w:val="00756D91"/>
    <w:rsid w:val="00761589"/>
    <w:rsid w:val="00776D5A"/>
    <w:rsid w:val="00777F1E"/>
    <w:rsid w:val="00783336"/>
    <w:rsid w:val="00792801"/>
    <w:rsid w:val="0079527D"/>
    <w:rsid w:val="007A04E2"/>
    <w:rsid w:val="007B58DD"/>
    <w:rsid w:val="007C207F"/>
    <w:rsid w:val="007C3EA8"/>
    <w:rsid w:val="007C53A7"/>
    <w:rsid w:val="007D2B35"/>
    <w:rsid w:val="007D3925"/>
    <w:rsid w:val="007D6FE9"/>
    <w:rsid w:val="007E1BF2"/>
    <w:rsid w:val="007E3917"/>
    <w:rsid w:val="007E65FB"/>
    <w:rsid w:val="007E741B"/>
    <w:rsid w:val="007F323B"/>
    <w:rsid w:val="007F4432"/>
    <w:rsid w:val="007F4D79"/>
    <w:rsid w:val="00806ED5"/>
    <w:rsid w:val="00822A99"/>
    <w:rsid w:val="00824576"/>
    <w:rsid w:val="00832D31"/>
    <w:rsid w:val="00833CBB"/>
    <w:rsid w:val="00835A99"/>
    <w:rsid w:val="00837985"/>
    <w:rsid w:val="0084010A"/>
    <w:rsid w:val="00841ABD"/>
    <w:rsid w:val="00845923"/>
    <w:rsid w:val="008506D7"/>
    <w:rsid w:val="008533D3"/>
    <w:rsid w:val="008537BB"/>
    <w:rsid w:val="0085773D"/>
    <w:rsid w:val="00867B0D"/>
    <w:rsid w:val="00874D0C"/>
    <w:rsid w:val="00877AEC"/>
    <w:rsid w:val="0088235B"/>
    <w:rsid w:val="008827A9"/>
    <w:rsid w:val="00887130"/>
    <w:rsid w:val="00890C7A"/>
    <w:rsid w:val="00890E23"/>
    <w:rsid w:val="00897424"/>
    <w:rsid w:val="008A0820"/>
    <w:rsid w:val="008A6BE5"/>
    <w:rsid w:val="008A6EA7"/>
    <w:rsid w:val="008B65F7"/>
    <w:rsid w:val="008C1855"/>
    <w:rsid w:val="008C640D"/>
    <w:rsid w:val="008C7407"/>
    <w:rsid w:val="008D0B8F"/>
    <w:rsid w:val="008D2034"/>
    <w:rsid w:val="008D5EB9"/>
    <w:rsid w:val="008E4B1E"/>
    <w:rsid w:val="008E6D5A"/>
    <w:rsid w:val="008F26A1"/>
    <w:rsid w:val="008F3F7E"/>
    <w:rsid w:val="008F740A"/>
    <w:rsid w:val="009011BA"/>
    <w:rsid w:val="0090212B"/>
    <w:rsid w:val="00911F26"/>
    <w:rsid w:val="009146CB"/>
    <w:rsid w:val="00920BD4"/>
    <w:rsid w:val="0092157C"/>
    <w:rsid w:val="00921E79"/>
    <w:rsid w:val="0092607E"/>
    <w:rsid w:val="009447E7"/>
    <w:rsid w:val="00944B15"/>
    <w:rsid w:val="00945420"/>
    <w:rsid w:val="00946A25"/>
    <w:rsid w:val="00953EC4"/>
    <w:rsid w:val="00954CBB"/>
    <w:rsid w:val="009636B9"/>
    <w:rsid w:val="00967CAB"/>
    <w:rsid w:val="00970F82"/>
    <w:rsid w:val="00990A52"/>
    <w:rsid w:val="009952D0"/>
    <w:rsid w:val="009A004C"/>
    <w:rsid w:val="009A53DE"/>
    <w:rsid w:val="009B3185"/>
    <w:rsid w:val="009B489F"/>
    <w:rsid w:val="009C3B7E"/>
    <w:rsid w:val="009C707E"/>
    <w:rsid w:val="009D11D2"/>
    <w:rsid w:val="009D3860"/>
    <w:rsid w:val="009D3E2D"/>
    <w:rsid w:val="009F171F"/>
    <w:rsid w:val="009F37CB"/>
    <w:rsid w:val="009F56EA"/>
    <w:rsid w:val="009F6210"/>
    <w:rsid w:val="00A02515"/>
    <w:rsid w:val="00A05305"/>
    <w:rsid w:val="00A057DA"/>
    <w:rsid w:val="00A05820"/>
    <w:rsid w:val="00A10ABE"/>
    <w:rsid w:val="00A2052C"/>
    <w:rsid w:val="00A24605"/>
    <w:rsid w:val="00A367A1"/>
    <w:rsid w:val="00A411E3"/>
    <w:rsid w:val="00A454FD"/>
    <w:rsid w:val="00A62957"/>
    <w:rsid w:val="00A63CAD"/>
    <w:rsid w:val="00A6663B"/>
    <w:rsid w:val="00A73742"/>
    <w:rsid w:val="00A772FF"/>
    <w:rsid w:val="00A810D1"/>
    <w:rsid w:val="00A90282"/>
    <w:rsid w:val="00AA4E3B"/>
    <w:rsid w:val="00AA5DD7"/>
    <w:rsid w:val="00AB0FC7"/>
    <w:rsid w:val="00AB737C"/>
    <w:rsid w:val="00AC20C9"/>
    <w:rsid w:val="00AC617F"/>
    <w:rsid w:val="00AD6F6A"/>
    <w:rsid w:val="00AE497C"/>
    <w:rsid w:val="00AE59FD"/>
    <w:rsid w:val="00AE7C55"/>
    <w:rsid w:val="00AF0BB1"/>
    <w:rsid w:val="00AF1CD0"/>
    <w:rsid w:val="00B07CF8"/>
    <w:rsid w:val="00B15E53"/>
    <w:rsid w:val="00B1726E"/>
    <w:rsid w:val="00B223F8"/>
    <w:rsid w:val="00B35E0E"/>
    <w:rsid w:val="00B36634"/>
    <w:rsid w:val="00B52232"/>
    <w:rsid w:val="00B55CE2"/>
    <w:rsid w:val="00B57ACC"/>
    <w:rsid w:val="00B667E0"/>
    <w:rsid w:val="00B70CA3"/>
    <w:rsid w:val="00B721CB"/>
    <w:rsid w:val="00B77D70"/>
    <w:rsid w:val="00B85E8A"/>
    <w:rsid w:val="00BB58DD"/>
    <w:rsid w:val="00BB694D"/>
    <w:rsid w:val="00BB76CE"/>
    <w:rsid w:val="00BC1F9A"/>
    <w:rsid w:val="00BC3121"/>
    <w:rsid w:val="00BC6FD2"/>
    <w:rsid w:val="00BD240F"/>
    <w:rsid w:val="00BD2FF3"/>
    <w:rsid w:val="00BD4208"/>
    <w:rsid w:val="00BD5550"/>
    <w:rsid w:val="00BE2204"/>
    <w:rsid w:val="00BE25D7"/>
    <w:rsid w:val="00BE5278"/>
    <w:rsid w:val="00BF31F5"/>
    <w:rsid w:val="00BF7FBC"/>
    <w:rsid w:val="00C02D00"/>
    <w:rsid w:val="00C21165"/>
    <w:rsid w:val="00C32BD3"/>
    <w:rsid w:val="00C352D2"/>
    <w:rsid w:val="00C4050F"/>
    <w:rsid w:val="00C5080E"/>
    <w:rsid w:val="00C57D60"/>
    <w:rsid w:val="00C60CD7"/>
    <w:rsid w:val="00C63183"/>
    <w:rsid w:val="00C70616"/>
    <w:rsid w:val="00C86E07"/>
    <w:rsid w:val="00C900A7"/>
    <w:rsid w:val="00C93A9C"/>
    <w:rsid w:val="00C97BBE"/>
    <w:rsid w:val="00C97E0D"/>
    <w:rsid w:val="00CA58A3"/>
    <w:rsid w:val="00CB2218"/>
    <w:rsid w:val="00CB54A8"/>
    <w:rsid w:val="00CB7477"/>
    <w:rsid w:val="00CC1329"/>
    <w:rsid w:val="00CC5853"/>
    <w:rsid w:val="00CD5D0B"/>
    <w:rsid w:val="00CE2AB1"/>
    <w:rsid w:val="00CE31BB"/>
    <w:rsid w:val="00CE3F81"/>
    <w:rsid w:val="00CE45A7"/>
    <w:rsid w:val="00CE67CF"/>
    <w:rsid w:val="00CF002F"/>
    <w:rsid w:val="00CF683D"/>
    <w:rsid w:val="00D00C2F"/>
    <w:rsid w:val="00D0265F"/>
    <w:rsid w:val="00D12F57"/>
    <w:rsid w:val="00D2282C"/>
    <w:rsid w:val="00D2297E"/>
    <w:rsid w:val="00D24304"/>
    <w:rsid w:val="00D2562E"/>
    <w:rsid w:val="00D308A0"/>
    <w:rsid w:val="00D32A28"/>
    <w:rsid w:val="00D4187A"/>
    <w:rsid w:val="00D43F83"/>
    <w:rsid w:val="00D441B3"/>
    <w:rsid w:val="00D56BEF"/>
    <w:rsid w:val="00D64D74"/>
    <w:rsid w:val="00D727D9"/>
    <w:rsid w:val="00D74171"/>
    <w:rsid w:val="00D76A80"/>
    <w:rsid w:val="00D81167"/>
    <w:rsid w:val="00D90B02"/>
    <w:rsid w:val="00D9148B"/>
    <w:rsid w:val="00D953CC"/>
    <w:rsid w:val="00D96730"/>
    <w:rsid w:val="00DA47E2"/>
    <w:rsid w:val="00DA740B"/>
    <w:rsid w:val="00DB14DB"/>
    <w:rsid w:val="00DB591B"/>
    <w:rsid w:val="00DC2EB6"/>
    <w:rsid w:val="00DC4C96"/>
    <w:rsid w:val="00DC773E"/>
    <w:rsid w:val="00DD02EE"/>
    <w:rsid w:val="00DD6041"/>
    <w:rsid w:val="00DD77B6"/>
    <w:rsid w:val="00DE4123"/>
    <w:rsid w:val="00DF140B"/>
    <w:rsid w:val="00E033EB"/>
    <w:rsid w:val="00E04486"/>
    <w:rsid w:val="00E13DF1"/>
    <w:rsid w:val="00E171A4"/>
    <w:rsid w:val="00E20F41"/>
    <w:rsid w:val="00E21716"/>
    <w:rsid w:val="00E2260D"/>
    <w:rsid w:val="00E46080"/>
    <w:rsid w:val="00E47525"/>
    <w:rsid w:val="00E56413"/>
    <w:rsid w:val="00E7066F"/>
    <w:rsid w:val="00E753F1"/>
    <w:rsid w:val="00E848E1"/>
    <w:rsid w:val="00E870DA"/>
    <w:rsid w:val="00E935BD"/>
    <w:rsid w:val="00EA01E5"/>
    <w:rsid w:val="00EA4AC3"/>
    <w:rsid w:val="00EA778B"/>
    <w:rsid w:val="00EC12F8"/>
    <w:rsid w:val="00ED0EB2"/>
    <w:rsid w:val="00EE1602"/>
    <w:rsid w:val="00EE7AE5"/>
    <w:rsid w:val="00EE7AF6"/>
    <w:rsid w:val="00EF19AC"/>
    <w:rsid w:val="00EF5E8D"/>
    <w:rsid w:val="00F006DC"/>
    <w:rsid w:val="00F0233C"/>
    <w:rsid w:val="00F06792"/>
    <w:rsid w:val="00F12D7E"/>
    <w:rsid w:val="00F146DA"/>
    <w:rsid w:val="00F16C05"/>
    <w:rsid w:val="00F17A40"/>
    <w:rsid w:val="00F25A35"/>
    <w:rsid w:val="00F2734C"/>
    <w:rsid w:val="00F27B5F"/>
    <w:rsid w:val="00F30AC2"/>
    <w:rsid w:val="00F33F91"/>
    <w:rsid w:val="00F36381"/>
    <w:rsid w:val="00F42E89"/>
    <w:rsid w:val="00F444EC"/>
    <w:rsid w:val="00F466D0"/>
    <w:rsid w:val="00F6161A"/>
    <w:rsid w:val="00F63194"/>
    <w:rsid w:val="00F6358A"/>
    <w:rsid w:val="00F74742"/>
    <w:rsid w:val="00F7597B"/>
    <w:rsid w:val="00F80648"/>
    <w:rsid w:val="00F80753"/>
    <w:rsid w:val="00F83FA5"/>
    <w:rsid w:val="00F85646"/>
    <w:rsid w:val="00F86208"/>
    <w:rsid w:val="00F87BCE"/>
    <w:rsid w:val="00F91B33"/>
    <w:rsid w:val="00F966A6"/>
    <w:rsid w:val="00FA05DB"/>
    <w:rsid w:val="00FA10F7"/>
    <w:rsid w:val="00FA20E5"/>
    <w:rsid w:val="00FA3006"/>
    <w:rsid w:val="00FA4AC0"/>
    <w:rsid w:val="00FA5BA8"/>
    <w:rsid w:val="00FB0CBD"/>
    <w:rsid w:val="00FC1492"/>
    <w:rsid w:val="00FC3B02"/>
    <w:rsid w:val="00FC5360"/>
    <w:rsid w:val="00FE56EB"/>
    <w:rsid w:val="00FE595D"/>
    <w:rsid w:val="00FF29DB"/>
    <w:rsid w:val="00FF59CD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C4050F"/>
    <w:pPr>
      <w:keepNext/>
      <w:keepLines/>
      <w:numPr>
        <w:numId w:val="7"/>
      </w:numPr>
      <w:spacing w:before="400" w:after="120"/>
      <w:outlineLvl w:val="0"/>
    </w:pPr>
    <w:rPr>
      <w:rFonts w:ascii="Verdana" w:eastAsia="Verdana" w:hAnsi="Verdana" w:cs="Verdana"/>
      <w:b/>
      <w:sz w:val="32"/>
      <w:szCs w:val="32"/>
      <w:lang w:val="es-CL"/>
    </w:rPr>
  </w:style>
  <w:style w:type="paragraph" w:styleId="Ttulo2">
    <w:name w:val="heading 2"/>
    <w:basedOn w:val="Normal"/>
    <w:next w:val="Normal"/>
    <w:rsid w:val="00C4050F"/>
    <w:pPr>
      <w:keepNext/>
      <w:keepLines/>
      <w:numPr>
        <w:numId w:val="6"/>
      </w:numPr>
      <w:spacing w:before="360" w:after="120"/>
      <w:outlineLvl w:val="1"/>
    </w:pPr>
    <w:rPr>
      <w:rFonts w:ascii="Verdana" w:hAnsi="Verdana"/>
      <w:b/>
      <w:sz w:val="32"/>
      <w:szCs w:val="32"/>
      <w:lang w:val="es-CL"/>
    </w:rPr>
  </w:style>
  <w:style w:type="paragraph" w:styleId="Ttulo3">
    <w:name w:val="heading 3"/>
    <w:basedOn w:val="Normal"/>
    <w:next w:val="Normal"/>
    <w:rsid w:val="00C4050F"/>
    <w:pPr>
      <w:keepNext/>
      <w:keepLines/>
      <w:spacing w:before="320" w:after="80"/>
      <w:outlineLvl w:val="2"/>
    </w:pPr>
    <w:rPr>
      <w:b/>
      <w:color w:val="434343"/>
      <w:sz w:val="28"/>
      <w:szCs w:val="28"/>
      <w:lang w:val="es-CL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6C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37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7CA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67C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7CAB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7CAB"/>
    <w:rPr>
      <w:rFonts w:ascii="Calibri" w:eastAsia="Calibri" w:hAnsi="Calibri" w:cs="Times New Roman"/>
      <w:sz w:val="20"/>
      <w:szCs w:val="20"/>
      <w:lang w:val="es-CL" w:eastAsia="en-US"/>
    </w:rPr>
  </w:style>
  <w:style w:type="character" w:styleId="Refdenotaalpie">
    <w:name w:val="footnote reference"/>
    <w:uiPriority w:val="99"/>
    <w:semiHidden/>
    <w:unhideWhenUsed/>
    <w:rsid w:val="00967CAB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967CAB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967CA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6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C4050F"/>
    <w:pPr>
      <w:spacing w:before="480"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C4050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050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050F"/>
    <w:pPr>
      <w:spacing w:after="100"/>
      <w:ind w:left="440"/>
    </w:pPr>
  </w:style>
  <w:style w:type="paragraph" w:styleId="Revisin">
    <w:name w:val="Revision"/>
    <w:hidden/>
    <w:uiPriority w:val="99"/>
    <w:semiHidden/>
    <w:rsid w:val="00422B80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0C7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7A"/>
  </w:style>
  <w:style w:type="paragraph" w:styleId="Piedepgina">
    <w:name w:val="footer"/>
    <w:basedOn w:val="Normal"/>
    <w:link w:val="PiedepginaCar"/>
    <w:uiPriority w:val="99"/>
    <w:unhideWhenUsed/>
    <w:rsid w:val="00890C7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7A"/>
  </w:style>
  <w:style w:type="paragraph" w:styleId="Sinespaciado">
    <w:name w:val="No Spacing"/>
    <w:uiPriority w:val="1"/>
    <w:qFormat/>
    <w:rsid w:val="006946F5"/>
    <w:pPr>
      <w:spacing w:line="240" w:lineRule="auto"/>
    </w:pPr>
  </w:style>
  <w:style w:type="table" w:styleId="Tablaconcuadrcula">
    <w:name w:val="Table Grid"/>
    <w:basedOn w:val="Tablanormal"/>
    <w:uiPriority w:val="59"/>
    <w:rsid w:val="00CD5D0B"/>
    <w:pPr>
      <w:spacing w:line="240" w:lineRule="auto"/>
    </w:pPr>
    <w:rPr>
      <w:rFonts w:ascii="Calibri" w:eastAsia="Calibri" w:hAnsi="Calibri" w:cs="Times New Roman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C4050F"/>
    <w:pPr>
      <w:keepNext/>
      <w:keepLines/>
      <w:numPr>
        <w:numId w:val="7"/>
      </w:numPr>
      <w:spacing w:before="400" w:after="120"/>
      <w:outlineLvl w:val="0"/>
    </w:pPr>
    <w:rPr>
      <w:rFonts w:ascii="Verdana" w:eastAsia="Verdana" w:hAnsi="Verdana" w:cs="Verdana"/>
      <w:b/>
      <w:sz w:val="32"/>
      <w:szCs w:val="32"/>
      <w:lang w:val="es-CL"/>
    </w:rPr>
  </w:style>
  <w:style w:type="paragraph" w:styleId="Ttulo2">
    <w:name w:val="heading 2"/>
    <w:basedOn w:val="Normal"/>
    <w:next w:val="Normal"/>
    <w:rsid w:val="00C4050F"/>
    <w:pPr>
      <w:keepNext/>
      <w:keepLines/>
      <w:numPr>
        <w:numId w:val="6"/>
      </w:numPr>
      <w:spacing w:before="360" w:after="120"/>
      <w:outlineLvl w:val="1"/>
    </w:pPr>
    <w:rPr>
      <w:rFonts w:ascii="Verdana" w:hAnsi="Verdana"/>
      <w:b/>
      <w:sz w:val="32"/>
      <w:szCs w:val="32"/>
      <w:lang w:val="es-CL"/>
    </w:rPr>
  </w:style>
  <w:style w:type="paragraph" w:styleId="Ttulo3">
    <w:name w:val="heading 3"/>
    <w:basedOn w:val="Normal"/>
    <w:next w:val="Normal"/>
    <w:rsid w:val="00C4050F"/>
    <w:pPr>
      <w:keepNext/>
      <w:keepLines/>
      <w:spacing w:before="320" w:after="80"/>
      <w:outlineLvl w:val="2"/>
    </w:pPr>
    <w:rPr>
      <w:b/>
      <w:color w:val="434343"/>
      <w:sz w:val="28"/>
      <w:szCs w:val="28"/>
      <w:lang w:val="es-CL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6C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37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C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7CA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67C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7CAB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7CAB"/>
    <w:rPr>
      <w:rFonts w:ascii="Calibri" w:eastAsia="Calibri" w:hAnsi="Calibri" w:cs="Times New Roman"/>
      <w:sz w:val="20"/>
      <w:szCs w:val="20"/>
      <w:lang w:val="es-CL" w:eastAsia="en-US"/>
    </w:rPr>
  </w:style>
  <w:style w:type="character" w:styleId="Refdenotaalpie">
    <w:name w:val="footnote reference"/>
    <w:uiPriority w:val="99"/>
    <w:semiHidden/>
    <w:unhideWhenUsed/>
    <w:rsid w:val="00967CAB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967CAB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967CA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6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C4050F"/>
    <w:pPr>
      <w:spacing w:before="480"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C4050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050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4050F"/>
    <w:pPr>
      <w:spacing w:after="100"/>
      <w:ind w:left="440"/>
    </w:pPr>
  </w:style>
  <w:style w:type="paragraph" w:styleId="Revisin">
    <w:name w:val="Revision"/>
    <w:hidden/>
    <w:uiPriority w:val="99"/>
    <w:semiHidden/>
    <w:rsid w:val="00422B80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0C7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7A"/>
  </w:style>
  <w:style w:type="paragraph" w:styleId="Piedepgina">
    <w:name w:val="footer"/>
    <w:basedOn w:val="Normal"/>
    <w:link w:val="PiedepginaCar"/>
    <w:uiPriority w:val="99"/>
    <w:unhideWhenUsed/>
    <w:rsid w:val="00890C7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7A"/>
  </w:style>
  <w:style w:type="paragraph" w:styleId="Sinespaciado">
    <w:name w:val="No Spacing"/>
    <w:uiPriority w:val="1"/>
    <w:qFormat/>
    <w:rsid w:val="006946F5"/>
    <w:pPr>
      <w:spacing w:line="240" w:lineRule="auto"/>
    </w:pPr>
  </w:style>
  <w:style w:type="table" w:styleId="Tablaconcuadrcula">
    <w:name w:val="Table Grid"/>
    <w:basedOn w:val="Tablanormal"/>
    <w:uiPriority w:val="59"/>
    <w:rsid w:val="00CD5D0B"/>
    <w:pPr>
      <w:spacing w:line="240" w:lineRule="auto"/>
    </w:pPr>
    <w:rPr>
      <w:rFonts w:ascii="Calibri" w:eastAsia="Calibri" w:hAnsi="Calibri" w:cs="Times New Roman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B8C6-0E8D-45F8-A948-49592006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9234</Words>
  <Characters>50788</Characters>
  <Application>Microsoft Office Word</Application>
  <DocSecurity>0</DocSecurity>
  <Lines>423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Enrique Sanchez Rossi</dc:creator>
  <cp:lastModifiedBy>Alejandro Benjamin Soto Stuardo</cp:lastModifiedBy>
  <cp:revision>2</cp:revision>
  <cp:lastPrinted>2021-01-22T11:07:00Z</cp:lastPrinted>
  <dcterms:created xsi:type="dcterms:W3CDTF">2021-03-01T14:17:00Z</dcterms:created>
  <dcterms:modified xsi:type="dcterms:W3CDTF">2021-03-01T14:17:00Z</dcterms:modified>
</cp:coreProperties>
</file>