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E5A8" w14:textId="4819C431" w:rsidR="009916D2" w:rsidRDefault="00A30DC8">
      <w:pPr>
        <w:pStyle w:val="Textoindependiente"/>
        <w:spacing w:before="79"/>
        <w:ind w:left="124"/>
      </w:pPr>
      <w:r>
        <w:t>CORTE DE APELACIONES SANTIAGO</w:t>
      </w:r>
    </w:p>
    <w:p w14:paraId="57BD0C69" w14:textId="77777777" w:rsidR="009916D2" w:rsidRDefault="00A30DC8">
      <w:pPr>
        <w:pStyle w:val="Textoindependiente"/>
        <w:spacing w:before="40" w:line="276" w:lineRule="auto"/>
        <w:ind w:left="124" w:right="5553"/>
      </w:pPr>
      <w:r>
        <w:t>Santiago, siete de diciembre de dos mil veinte. Sala: Sexta</w:t>
      </w:r>
    </w:p>
    <w:p w14:paraId="0A9202B2" w14:textId="77777777" w:rsidR="009916D2" w:rsidRDefault="00A30DC8">
      <w:pPr>
        <w:pStyle w:val="Textoindependiente"/>
        <w:spacing w:line="276" w:lineRule="auto"/>
        <w:ind w:left="124" w:right="7074"/>
      </w:pPr>
      <w:r>
        <w:t>Rol Corte: Penal-6205-2020 Ruc:</w:t>
      </w:r>
      <w:r>
        <w:rPr>
          <w:spacing w:val="64"/>
        </w:rPr>
        <w:t xml:space="preserve"> </w:t>
      </w:r>
      <w:r>
        <w:t>2001015751-0</w:t>
      </w:r>
    </w:p>
    <w:p w14:paraId="1E7E2562" w14:textId="77777777" w:rsidR="009916D2" w:rsidRDefault="00A30DC8">
      <w:pPr>
        <w:pStyle w:val="Textoindependiente"/>
        <w:spacing w:line="275" w:lineRule="exact"/>
        <w:ind w:left="124"/>
      </w:pPr>
      <w:r>
        <w:t>Rit : O-19650-2020</w:t>
      </w:r>
    </w:p>
    <w:p w14:paraId="686CD559" w14:textId="77777777" w:rsidR="009916D2" w:rsidRDefault="00A30DC8">
      <w:pPr>
        <w:pStyle w:val="Textoindependiente"/>
        <w:spacing w:before="41"/>
        <w:ind w:left="124"/>
      </w:pPr>
      <w:r>
        <w:t>Juzgado: 7º JUZGADO DE GARANTIA DE SANTIAGO</w:t>
      </w:r>
    </w:p>
    <w:p w14:paraId="3241B2BD" w14:textId="77777777" w:rsidR="009916D2" w:rsidRDefault="00A30DC8">
      <w:pPr>
        <w:pStyle w:val="Textoindependiente"/>
        <w:spacing w:before="40" w:line="276" w:lineRule="auto"/>
        <w:ind w:left="124" w:right="1884"/>
        <w:jc w:val="both"/>
      </w:pPr>
      <w:r>
        <w:t>Integrantes: los Ministros señora Jessica De Lourdes Gonzalez Troncoso,</w:t>
      </w:r>
      <w:r>
        <w:rPr>
          <w:spacing w:val="-29"/>
        </w:rPr>
        <w:t xml:space="preserve"> </w:t>
      </w:r>
      <w:r>
        <w:t>señora M.Rosa Kittsteiner Gentile y el Abogado Integrante señor Rodrigo Asenjo Zegers Relator: IVAN SEBASTIAN OLAVARRIA BERBELAGUA</w:t>
      </w:r>
    </w:p>
    <w:p w14:paraId="1D72DCB8" w14:textId="77777777" w:rsidR="009916D2" w:rsidRDefault="00A30DC8">
      <w:pPr>
        <w:pStyle w:val="Textoindependiente"/>
        <w:spacing w:line="276" w:lineRule="auto"/>
        <w:ind w:left="124" w:right="6367"/>
      </w:pPr>
      <w:r>
        <w:t>Digitador (a): Olga Palacios Díaz Fiscal: Nicolás Calvo</w:t>
      </w:r>
    </w:p>
    <w:p w14:paraId="14CB26AA" w14:textId="77777777" w:rsidR="009916D2" w:rsidRDefault="00A30DC8">
      <w:pPr>
        <w:pStyle w:val="Textoindependiente"/>
        <w:ind w:left="124"/>
        <w:jc w:val="both"/>
      </w:pPr>
      <w:r>
        <w:t>Santiago, siete de diciembre de dos mil veinte.</w:t>
      </w:r>
    </w:p>
    <w:p w14:paraId="5096F17E" w14:textId="77777777" w:rsidR="009916D2" w:rsidRDefault="00A30DC8">
      <w:pPr>
        <w:pStyle w:val="Textoindependiente"/>
        <w:spacing w:before="138" w:line="360" w:lineRule="auto"/>
        <w:ind w:left="831" w:right="2501"/>
        <w:jc w:val="both"/>
      </w:pPr>
      <w:r>
        <w:t>A los folios 4, 5, 7, 8, 9, 10, 11, 12, 13 y 14, a todo, téngase</w:t>
      </w:r>
      <w:r>
        <w:rPr>
          <w:spacing w:val="-33"/>
        </w:rPr>
        <w:t xml:space="preserve"> </w:t>
      </w:r>
      <w:r>
        <w:t>presente Al folio 6, a sus</w:t>
      </w:r>
      <w:r>
        <w:rPr>
          <w:spacing w:val="-2"/>
        </w:rPr>
        <w:t xml:space="preserve"> </w:t>
      </w:r>
      <w:r>
        <w:t>antecedentes.</w:t>
      </w:r>
    </w:p>
    <w:p w14:paraId="49BB4F48" w14:textId="77777777" w:rsidR="009916D2" w:rsidRDefault="00A30DC8">
      <w:pPr>
        <w:pStyle w:val="Ttulo1"/>
        <w:ind w:left="831"/>
        <w:rPr>
          <w:b w:val="0"/>
        </w:rPr>
      </w:pPr>
      <w:r>
        <w:t>Vistos y oídos los intervinientes</w:t>
      </w:r>
      <w:r>
        <w:rPr>
          <w:b w:val="0"/>
        </w:rPr>
        <w:t>:</w:t>
      </w:r>
    </w:p>
    <w:p w14:paraId="31DD5533" w14:textId="77777777" w:rsidR="009916D2" w:rsidRDefault="00A30DC8">
      <w:pPr>
        <w:pStyle w:val="Textoindependiente"/>
        <w:spacing w:before="138" w:line="360" w:lineRule="auto"/>
        <w:ind w:left="124" w:right="1713" w:firstLine="708"/>
        <w:jc w:val="both"/>
      </w:pPr>
      <w:r>
        <w:rPr>
          <w:noProof/>
        </w:rPr>
        <w:drawing>
          <wp:anchor distT="0" distB="0" distL="0" distR="0" simplePos="0" relativeHeight="251658240" behindDoc="0" locked="0" layoutInCell="1" allowOverlap="1" wp14:anchorId="5DEFF46E" wp14:editId="59811885">
            <wp:simplePos x="0" y="0"/>
            <wp:positionH relativeFrom="page">
              <wp:posOffset>7010400</wp:posOffset>
            </wp:positionH>
            <wp:positionV relativeFrom="paragraph">
              <wp:posOffset>777949</wp:posOffset>
            </wp:positionV>
            <wp:extent cx="635000" cy="2540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5000" cy="2540000"/>
                    </a:xfrm>
                    <a:prstGeom prst="rect">
                      <a:avLst/>
                    </a:prstGeom>
                  </pic:spPr>
                </pic:pic>
              </a:graphicData>
            </a:graphic>
          </wp:anchor>
        </w:drawing>
      </w:r>
      <w:r>
        <w:t>Que en el caso de autos la señora jueza de primer grado dio por acreditados los presupuestos de las letras a) y b) del artículo 140 del Código Procesal Penal, respecto del delito por el cual fueron formalizados los imputados recurridos.</w:t>
      </w:r>
    </w:p>
    <w:p w14:paraId="131A496A" w14:textId="6C5FF564" w:rsidR="009916D2" w:rsidRDefault="003E4661">
      <w:pPr>
        <w:pStyle w:val="Textoindependiente"/>
        <w:spacing w:line="360" w:lineRule="auto"/>
        <w:ind w:left="124" w:right="1711" w:firstLine="708"/>
        <w:jc w:val="both"/>
      </w:pPr>
      <w:r>
        <w:rPr>
          <w:noProof/>
        </w:rPr>
        <mc:AlternateContent>
          <mc:Choice Requires="wps">
            <w:drawing>
              <wp:anchor distT="0" distB="0" distL="114300" distR="114300" simplePos="0" relativeHeight="251659264" behindDoc="0" locked="0" layoutInCell="1" allowOverlap="1" wp14:anchorId="48968A1F" wp14:editId="2C8B0588">
                <wp:simplePos x="0" y="0"/>
                <wp:positionH relativeFrom="page">
                  <wp:posOffset>6874510</wp:posOffset>
                </wp:positionH>
                <wp:positionV relativeFrom="paragraph">
                  <wp:posOffset>528955</wp:posOffset>
                </wp:positionV>
                <wp:extent cx="139065" cy="7594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4F46" w14:textId="77777777" w:rsidR="009916D2" w:rsidRDefault="00A30DC8">
                            <w:pPr>
                              <w:spacing w:before="14"/>
                              <w:ind w:left="20"/>
                              <w:rPr>
                                <w:sz w:val="16"/>
                              </w:rPr>
                            </w:pPr>
                            <w:r>
                              <w:rPr>
                                <w:sz w:val="16"/>
                              </w:rPr>
                              <w:t>WXXXHSMDEB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68A1F" id="_x0000_t202" coordsize="21600,21600" o:spt="202" path="m,l,21600r21600,l21600,xe">
                <v:stroke joinstyle="miter"/>
                <v:path gradientshapeok="t" o:connecttype="rect"/>
              </v:shapetype>
              <v:shape id="Text Box 5" o:spid="_x0000_s1026" type="#_x0000_t202" style="position:absolute;left:0;text-align:left;margin-left:541.3pt;margin-top:41.65pt;width:10.95pt;height:5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" filled="f" stroked="f">
                <v:textbox style="layout-flow:vertical" inset="0,0,0,0">
                  <w:txbxContent>
                    <w:p w14:paraId="1C364F46" w14:textId="77777777" w:rsidR="009916D2" w:rsidRDefault="00A30DC8">
                      <w:pPr>
                        <w:spacing w:before="14"/>
                        <w:ind w:left="20"/>
                        <w:rPr>
                          <w:sz w:val="16"/>
                        </w:rPr>
                      </w:pPr>
                      <w:r>
                        <w:rPr>
                          <w:sz w:val="16"/>
                        </w:rPr>
                        <w:t>WXXXHSMDEB</w:t>
                      </w:r>
                    </w:p>
                  </w:txbxContent>
                </v:textbox>
                <w10:wrap anchorx="page"/>
              </v:shape>
            </w:pict>
          </mc:Fallback>
        </mc:AlternateContent>
      </w:r>
      <w:r w:rsidR="00A30DC8">
        <w:t>En cuanto a la necesidad de cautela, único aspecto controvertido, el hecho imputado ha sido calificado por el ente persecutor como delito de amenazas del artículo 268 quinquies, en relación con el 296 N° 2, ambos del Código Penal. Los antecedentes de la carpeta investigativa -en esta etapa de la indagación- dan cuenta de la existencia de un concierto previo entre los imputados, en la forma descrita en el acto de formalización, para luego ejecutar en el lugar de los hechos diversos actos en forma coordinada a fin de concretar el actuar ilícito.</w:t>
      </w:r>
    </w:p>
    <w:p w14:paraId="727F30B6" w14:textId="77777777" w:rsidR="009916D2" w:rsidRDefault="00A30DC8">
      <w:pPr>
        <w:pStyle w:val="Textoindependiente"/>
        <w:spacing w:line="360" w:lineRule="auto"/>
        <w:ind w:left="124" w:right="1706" w:firstLine="708"/>
        <w:jc w:val="both"/>
      </w:pPr>
      <w:r>
        <w:t>Por otro lado, las expresiones contenidas en la carta entregada a través del hijo de la víctima, en el domicilio de ésta, fueron estimadas serias y verosímiles, como lo explica la juzgadora en la resolución que se revisa y afectan a una fiscal</w:t>
      </w:r>
    </w:p>
    <w:p w14:paraId="0C54BD07" w14:textId="77777777" w:rsidR="009916D2" w:rsidRDefault="00A30DC8">
      <w:pPr>
        <w:pStyle w:val="Textoindependiente"/>
        <w:spacing w:before="79" w:line="360" w:lineRule="auto"/>
        <w:ind w:left="124" w:right="1713"/>
        <w:jc w:val="both"/>
      </w:pPr>
      <w:r>
        <w:t>del ministerio público en el ejercicio de sus funciones, hechos que se producen, además, en un contexto de amenazas proferidas a través de redes sociales contra la ofendida a consecuencia de la trasmisión de la audiencia del día 4 de octubre pasado, en causa diversa a cargo de la señora fiscal, las que fueron difundidas ampliamente por la misma vía.</w:t>
      </w:r>
    </w:p>
    <w:p w14:paraId="29E47D53" w14:textId="77777777" w:rsidR="009916D2" w:rsidRDefault="00A30DC8">
      <w:pPr>
        <w:pStyle w:val="Textoindependiente"/>
        <w:spacing w:line="360" w:lineRule="auto"/>
        <w:ind w:left="124" w:right="1709" w:firstLine="708"/>
        <w:jc w:val="both"/>
      </w:pPr>
      <w:r>
        <w:t>Por consiguiente, atendida la naturaleza del ilícito, los bienes jurídicos protegidos, su especial forma de comisión y la sanción legal probable, se</w:t>
      </w:r>
      <w:r>
        <w:rPr>
          <w:spacing w:val="-34"/>
        </w:rPr>
        <w:t xml:space="preserve"> </w:t>
      </w:r>
      <w:r>
        <w:t>configura en el caso de autos un conjunto de antecedentes calificados que permiten presumir que los fines del procedimiento y la seguridad de la víctima, en este caso, se satisfacen con la medida más severa del ordenamiento jurídico como lo solicita el ministerio público, razón por la cual resulta proporcional la medida de prisión preventiva.</w:t>
      </w:r>
    </w:p>
    <w:p w14:paraId="0BF8CB2C" w14:textId="2FFE6147" w:rsidR="009916D2" w:rsidRDefault="00A30DC8" w:rsidP="00A30DC8">
      <w:pPr>
        <w:spacing w:line="360" w:lineRule="auto"/>
        <w:ind w:left="124" w:right="1703" w:firstLine="708"/>
        <w:jc w:val="both"/>
      </w:pPr>
      <w:r>
        <w:rPr>
          <w:sz w:val="24"/>
        </w:rPr>
        <w:t xml:space="preserve">Por estas consideraciones, </w:t>
      </w:r>
      <w:r>
        <w:rPr>
          <w:b/>
          <w:sz w:val="24"/>
        </w:rPr>
        <w:t xml:space="preserve">se revoca </w:t>
      </w:r>
      <w:r>
        <w:rPr>
          <w:sz w:val="24"/>
        </w:rPr>
        <w:t xml:space="preserve">la resolución apelada de veintisiete </w:t>
      </w:r>
      <w:r>
        <w:rPr>
          <w:sz w:val="24"/>
        </w:rPr>
        <w:lastRenderedPageBreak/>
        <w:t>de noviembre de dos mil veinte, dictada por el 7° Juzgado de Garantía de Santiago, por la cual se rechazó lo solicitado por el Ministerio Público y en su lugar se decide que los imputados</w:t>
      </w:r>
      <w:r>
        <w:t xml:space="preserve"> quedan sujetos a la medida cautelar personal de prisión preventiva.</w:t>
      </w:r>
    </w:p>
    <w:p w14:paraId="629717A5" w14:textId="77777777" w:rsidR="009916D2" w:rsidRDefault="00A30DC8">
      <w:pPr>
        <w:pStyle w:val="Textoindependiente"/>
        <w:spacing w:line="360" w:lineRule="auto"/>
        <w:ind w:left="124" w:right="1708" w:firstLine="833"/>
        <w:jc w:val="both"/>
      </w:pPr>
      <w:r>
        <w:t>Se previene que la ministra señora González estuvo por acceder a la solicitud subsidiaria del ente persecutor, en atención a la sanción legal probable del delito objeto de formalización, y decretar respecto de los imputados la medida de arresto domiciliario</w:t>
      </w:r>
      <w:r>
        <w:rPr>
          <w:spacing w:val="-2"/>
        </w:rPr>
        <w:t xml:space="preserve"> </w:t>
      </w:r>
      <w:r>
        <w:t>total.</w:t>
      </w:r>
    </w:p>
    <w:p w14:paraId="59730BC7" w14:textId="77777777" w:rsidR="009916D2" w:rsidRDefault="00A30DC8">
      <w:pPr>
        <w:pStyle w:val="Textoindependiente"/>
        <w:ind w:left="831"/>
      </w:pPr>
      <w:r>
        <w:t>Comuníquese.</w:t>
      </w:r>
    </w:p>
    <w:p w14:paraId="2D97AE48" w14:textId="2F78CB3E" w:rsidR="009916D2" w:rsidRDefault="00A30DC8">
      <w:pPr>
        <w:pStyle w:val="Textoindependiente"/>
        <w:spacing w:before="138"/>
        <w:ind w:left="831"/>
      </w:pPr>
      <w:r>
        <w:t>Rol N° 6205-2020.-</w:t>
      </w:r>
    </w:p>
    <w:p w14:paraId="2F05C398" w14:textId="77777777" w:rsidR="009916D2" w:rsidRDefault="009916D2">
      <w:pPr>
        <w:pStyle w:val="Textoindependiente"/>
        <w:rPr>
          <w:sz w:val="26"/>
        </w:rPr>
      </w:pPr>
    </w:p>
    <w:p w14:paraId="0B2D63FB" w14:textId="77777777" w:rsidR="009916D2" w:rsidRDefault="009916D2">
      <w:pPr>
        <w:pStyle w:val="Textoindependiente"/>
        <w:rPr>
          <w:sz w:val="26"/>
        </w:rPr>
      </w:pPr>
    </w:p>
    <w:sectPr w:rsidR="009916D2">
      <w:pgSz w:w="12240" w:h="18720"/>
      <w:pgMar w:top="1700" w:right="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D3FD2"/>
    <w:multiLevelType w:val="hybridMultilevel"/>
    <w:tmpl w:val="42A4197C"/>
    <w:lvl w:ilvl="0" w:tplc="0AD0372E">
      <w:numFmt w:val="bullet"/>
      <w:lvlText w:val="-"/>
      <w:lvlJc w:val="left"/>
      <w:pPr>
        <w:ind w:left="124" w:hanging="438"/>
      </w:pPr>
      <w:rPr>
        <w:rFonts w:ascii="PMingLiU" w:eastAsia="PMingLiU" w:hAnsi="PMingLiU" w:cs="PMingLiU" w:hint="default"/>
        <w:w w:val="99"/>
        <w:sz w:val="24"/>
        <w:szCs w:val="24"/>
        <w:lang w:val="es-ES" w:eastAsia="es-ES" w:bidi="es-ES"/>
      </w:rPr>
    </w:lvl>
    <w:lvl w:ilvl="1" w:tplc="3F82D484">
      <w:numFmt w:val="bullet"/>
      <w:lvlText w:val="•"/>
      <w:lvlJc w:val="left"/>
      <w:pPr>
        <w:ind w:left="6900" w:hanging="438"/>
      </w:pPr>
      <w:rPr>
        <w:rFonts w:hint="default"/>
        <w:lang w:val="es-ES" w:eastAsia="es-ES" w:bidi="es-ES"/>
      </w:rPr>
    </w:lvl>
    <w:lvl w:ilvl="2" w:tplc="51361536">
      <w:numFmt w:val="bullet"/>
      <w:lvlText w:val="•"/>
      <w:lvlJc w:val="left"/>
      <w:pPr>
        <w:ind w:left="7317" w:hanging="438"/>
      </w:pPr>
      <w:rPr>
        <w:rFonts w:hint="default"/>
        <w:lang w:val="es-ES" w:eastAsia="es-ES" w:bidi="es-ES"/>
      </w:rPr>
    </w:lvl>
    <w:lvl w:ilvl="3" w:tplc="3EB4DAAE">
      <w:numFmt w:val="bullet"/>
      <w:lvlText w:val="•"/>
      <w:lvlJc w:val="left"/>
      <w:pPr>
        <w:ind w:left="7735" w:hanging="438"/>
      </w:pPr>
      <w:rPr>
        <w:rFonts w:hint="default"/>
        <w:lang w:val="es-ES" w:eastAsia="es-ES" w:bidi="es-ES"/>
      </w:rPr>
    </w:lvl>
    <w:lvl w:ilvl="4" w:tplc="CACCAD8C">
      <w:numFmt w:val="bullet"/>
      <w:lvlText w:val="•"/>
      <w:lvlJc w:val="left"/>
      <w:pPr>
        <w:ind w:left="8153" w:hanging="438"/>
      </w:pPr>
      <w:rPr>
        <w:rFonts w:hint="default"/>
        <w:lang w:val="es-ES" w:eastAsia="es-ES" w:bidi="es-ES"/>
      </w:rPr>
    </w:lvl>
    <w:lvl w:ilvl="5" w:tplc="60D2EA90">
      <w:numFmt w:val="bullet"/>
      <w:lvlText w:val="•"/>
      <w:lvlJc w:val="left"/>
      <w:pPr>
        <w:ind w:left="8571" w:hanging="438"/>
      </w:pPr>
      <w:rPr>
        <w:rFonts w:hint="default"/>
        <w:lang w:val="es-ES" w:eastAsia="es-ES" w:bidi="es-ES"/>
      </w:rPr>
    </w:lvl>
    <w:lvl w:ilvl="6" w:tplc="5660344E">
      <w:numFmt w:val="bullet"/>
      <w:lvlText w:val="•"/>
      <w:lvlJc w:val="left"/>
      <w:pPr>
        <w:ind w:left="8988" w:hanging="438"/>
      </w:pPr>
      <w:rPr>
        <w:rFonts w:hint="default"/>
        <w:lang w:val="es-ES" w:eastAsia="es-ES" w:bidi="es-ES"/>
      </w:rPr>
    </w:lvl>
    <w:lvl w:ilvl="7" w:tplc="06DCA9C6">
      <w:numFmt w:val="bullet"/>
      <w:lvlText w:val="•"/>
      <w:lvlJc w:val="left"/>
      <w:pPr>
        <w:ind w:left="9406" w:hanging="438"/>
      </w:pPr>
      <w:rPr>
        <w:rFonts w:hint="default"/>
        <w:lang w:val="es-ES" w:eastAsia="es-ES" w:bidi="es-ES"/>
      </w:rPr>
    </w:lvl>
    <w:lvl w:ilvl="8" w:tplc="9E906CE4">
      <w:numFmt w:val="bullet"/>
      <w:lvlText w:val="•"/>
      <w:lvlJc w:val="left"/>
      <w:pPr>
        <w:ind w:left="9824" w:hanging="438"/>
      </w:pPr>
      <w:rPr>
        <w:rFonts w:hint="default"/>
        <w:lang w:val="es-ES" w:eastAsia="es-ES" w:bidi="es-ES"/>
      </w:rPr>
    </w:lvl>
  </w:abstractNum>
  <w:abstractNum w:abstractNumId="1" w15:restartNumberingAfterBreak="0">
    <w:nsid w:val="77BA7BAF"/>
    <w:multiLevelType w:val="hybridMultilevel"/>
    <w:tmpl w:val="726E426C"/>
    <w:lvl w:ilvl="0" w:tplc="B17428A4">
      <w:numFmt w:val="bullet"/>
      <w:lvlText w:val="-"/>
      <w:lvlJc w:val="left"/>
      <w:pPr>
        <w:ind w:left="124" w:hanging="204"/>
      </w:pPr>
      <w:rPr>
        <w:rFonts w:ascii="Arial" w:eastAsia="Arial" w:hAnsi="Arial" w:cs="Arial" w:hint="default"/>
        <w:spacing w:val="-10"/>
        <w:w w:val="100"/>
        <w:sz w:val="24"/>
        <w:szCs w:val="24"/>
        <w:lang w:val="es-ES" w:eastAsia="es-ES" w:bidi="es-ES"/>
      </w:rPr>
    </w:lvl>
    <w:lvl w:ilvl="1" w:tplc="7AB61D18">
      <w:numFmt w:val="bullet"/>
      <w:lvlText w:val="•"/>
      <w:lvlJc w:val="left"/>
      <w:pPr>
        <w:ind w:left="1174" w:hanging="204"/>
      </w:pPr>
      <w:rPr>
        <w:rFonts w:hint="default"/>
        <w:lang w:val="es-ES" w:eastAsia="es-ES" w:bidi="es-ES"/>
      </w:rPr>
    </w:lvl>
    <w:lvl w:ilvl="2" w:tplc="A74CB21E">
      <w:numFmt w:val="bullet"/>
      <w:lvlText w:val="•"/>
      <w:lvlJc w:val="left"/>
      <w:pPr>
        <w:ind w:left="2228" w:hanging="204"/>
      </w:pPr>
      <w:rPr>
        <w:rFonts w:hint="default"/>
        <w:lang w:val="es-ES" w:eastAsia="es-ES" w:bidi="es-ES"/>
      </w:rPr>
    </w:lvl>
    <w:lvl w:ilvl="3" w:tplc="D040BB76">
      <w:numFmt w:val="bullet"/>
      <w:lvlText w:val="•"/>
      <w:lvlJc w:val="left"/>
      <w:pPr>
        <w:ind w:left="3282" w:hanging="204"/>
      </w:pPr>
      <w:rPr>
        <w:rFonts w:hint="default"/>
        <w:lang w:val="es-ES" w:eastAsia="es-ES" w:bidi="es-ES"/>
      </w:rPr>
    </w:lvl>
    <w:lvl w:ilvl="4" w:tplc="27CAFDC0">
      <w:numFmt w:val="bullet"/>
      <w:lvlText w:val="•"/>
      <w:lvlJc w:val="left"/>
      <w:pPr>
        <w:ind w:left="4336" w:hanging="204"/>
      </w:pPr>
      <w:rPr>
        <w:rFonts w:hint="default"/>
        <w:lang w:val="es-ES" w:eastAsia="es-ES" w:bidi="es-ES"/>
      </w:rPr>
    </w:lvl>
    <w:lvl w:ilvl="5" w:tplc="708C0F32">
      <w:numFmt w:val="bullet"/>
      <w:lvlText w:val="•"/>
      <w:lvlJc w:val="left"/>
      <w:pPr>
        <w:ind w:left="5390" w:hanging="204"/>
      </w:pPr>
      <w:rPr>
        <w:rFonts w:hint="default"/>
        <w:lang w:val="es-ES" w:eastAsia="es-ES" w:bidi="es-ES"/>
      </w:rPr>
    </w:lvl>
    <w:lvl w:ilvl="6" w:tplc="34C608AC">
      <w:numFmt w:val="bullet"/>
      <w:lvlText w:val="•"/>
      <w:lvlJc w:val="left"/>
      <w:pPr>
        <w:ind w:left="6444" w:hanging="204"/>
      </w:pPr>
      <w:rPr>
        <w:rFonts w:hint="default"/>
        <w:lang w:val="es-ES" w:eastAsia="es-ES" w:bidi="es-ES"/>
      </w:rPr>
    </w:lvl>
    <w:lvl w:ilvl="7" w:tplc="0A640FAE">
      <w:numFmt w:val="bullet"/>
      <w:lvlText w:val="•"/>
      <w:lvlJc w:val="left"/>
      <w:pPr>
        <w:ind w:left="7498" w:hanging="204"/>
      </w:pPr>
      <w:rPr>
        <w:rFonts w:hint="default"/>
        <w:lang w:val="es-ES" w:eastAsia="es-ES" w:bidi="es-ES"/>
      </w:rPr>
    </w:lvl>
    <w:lvl w:ilvl="8" w:tplc="E78C7762">
      <w:numFmt w:val="bullet"/>
      <w:lvlText w:val="•"/>
      <w:lvlJc w:val="left"/>
      <w:pPr>
        <w:ind w:left="8552" w:hanging="204"/>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D2"/>
    <w:rsid w:val="003E4661"/>
    <w:rsid w:val="009916D2"/>
    <w:rsid w:val="00A30D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F1AB"/>
  <w15:docId w15:val="{530157B4-E9A8-4ED1-A875-49F13AC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24"/>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2669</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LESPINOZA</dc:creator>
  <cp:lastModifiedBy>Andés López</cp:lastModifiedBy>
  <cp:revision>2</cp:revision>
  <dcterms:created xsi:type="dcterms:W3CDTF">2020-12-07T17:24:00Z</dcterms:created>
  <dcterms:modified xsi:type="dcterms:W3CDTF">2020-12-07T17:24:00Z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Writer</vt:lpwstr>
  </property>
  <property fmtid="{D5CDD505-2E9C-101B-9397-08002B2CF9AE}" pid="4" name="LastSaved">
    <vt:filetime>2020-12-07T00:00:00Z</vt:filetime>
  </property>
</Properties>
</file>